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0950A" w14:textId="77777777" w:rsidR="00861438" w:rsidRPr="00EB3CDC" w:rsidRDefault="00EB3CDC" w:rsidP="00C8415D">
      <w:pPr>
        <w:pStyle w:val="Heading1"/>
        <w:rPr>
          <w:sz w:val="36"/>
          <w:szCs w:val="36"/>
        </w:rPr>
      </w:pPr>
      <w:r w:rsidRPr="00EB3CDC">
        <w:rPr>
          <w:sz w:val="36"/>
          <w:szCs w:val="36"/>
        </w:rPr>
        <w:t xml:space="preserve">Asset Management </w:t>
      </w:r>
      <w:r w:rsidR="00E64679" w:rsidRPr="00EB3CDC">
        <w:rPr>
          <w:sz w:val="36"/>
          <w:szCs w:val="36"/>
        </w:rPr>
        <w:t xml:space="preserve">Policy </w:t>
      </w:r>
    </w:p>
    <w:p w14:paraId="0CD0950B" w14:textId="77777777" w:rsidR="00E64679" w:rsidRPr="00EB3CDC" w:rsidRDefault="00E64679" w:rsidP="004307CB">
      <w:pPr>
        <w:spacing w:before="60" w:after="60"/>
        <w:rPr>
          <w:rFonts w:cs="Arial"/>
          <w:color w:val="808080" w:themeColor="background1" w:themeShade="80"/>
        </w:rPr>
      </w:pPr>
    </w:p>
    <w:p w14:paraId="0CD0950C" w14:textId="77777777" w:rsidR="00861438" w:rsidRPr="00EB3CDC" w:rsidRDefault="004371F3" w:rsidP="004307CB">
      <w:pPr>
        <w:spacing w:before="60" w:after="60"/>
        <w:rPr>
          <w:rFonts w:cs="Arial"/>
          <w:color w:val="808080" w:themeColor="background1" w:themeShade="80"/>
        </w:rPr>
      </w:pPr>
      <w:r w:rsidRPr="00EB3CDC">
        <w:rPr>
          <w:rFonts w:cs="Arial"/>
          <w:color w:val="808080" w:themeColor="background1" w:themeShade="80"/>
        </w:rPr>
        <w:t>To use this template, simply</w:t>
      </w:r>
      <w:r w:rsidR="004307CB" w:rsidRPr="00EB3CDC">
        <w:rPr>
          <w:rFonts w:cs="Arial"/>
          <w:color w:val="808080" w:themeColor="background1" w:themeShade="80"/>
        </w:rPr>
        <w:t xml:space="preserve"> </w:t>
      </w:r>
      <w:r w:rsidRPr="00EB3CDC">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EB3CDC">
        <w:rPr>
          <w:rFonts w:cs="Arial"/>
          <w:color w:val="808080" w:themeColor="background1" w:themeShade="80"/>
        </w:rPr>
        <w:t xml:space="preserve">. </w:t>
      </w:r>
    </w:p>
    <w:p w14:paraId="0CD09523" w14:textId="77777777" w:rsidR="00E64679" w:rsidRPr="00EB3CDC" w:rsidRDefault="00E64679" w:rsidP="004307CB">
      <w:pPr>
        <w:spacing w:before="60" w:after="60"/>
        <w:rPr>
          <w:rFonts w:cs="Arial"/>
          <w:color w:val="808080" w:themeColor="background1" w:themeShade="80"/>
        </w:rPr>
      </w:pPr>
    </w:p>
    <w:p w14:paraId="0CD09524" w14:textId="77777777" w:rsidR="008B4684" w:rsidRPr="00EB3CDC" w:rsidRDefault="00E64679" w:rsidP="008B4684">
      <w:pPr>
        <w:pStyle w:val="Heading1"/>
      </w:pPr>
      <w:r w:rsidRPr="00EB3CDC">
        <w:t>Purpose</w:t>
      </w:r>
    </w:p>
    <w:p w14:paraId="0CD09525" w14:textId="77777777" w:rsidR="00E64679" w:rsidRPr="00EB3CDC" w:rsidRDefault="00E64679" w:rsidP="00E64679">
      <w:pPr>
        <w:rPr>
          <w:rFonts w:cs="Arial"/>
          <w:color w:val="808080"/>
        </w:rPr>
      </w:pPr>
      <w:r w:rsidRPr="00EB3CDC">
        <w:rPr>
          <w:rFonts w:cs="Arial"/>
          <w:color w:val="808080"/>
        </w:rPr>
        <w:t xml:space="preserve">Describe the factors or circumstances that mandate the existence of the policy. Also state the policy’s basic objectives and what the policy is meant to achieve. </w:t>
      </w:r>
    </w:p>
    <w:p w14:paraId="0CD09526" w14:textId="77777777" w:rsidR="00E64679" w:rsidRPr="00EB3CDC" w:rsidRDefault="00E64679" w:rsidP="00E64679">
      <w:pPr>
        <w:rPr>
          <w:rFonts w:cs="Arial"/>
          <w:color w:val="808080"/>
        </w:rPr>
      </w:pPr>
    </w:p>
    <w:p w14:paraId="0CD09527" w14:textId="77777777" w:rsidR="00EB3CDC" w:rsidRPr="00EB3CDC" w:rsidRDefault="00EB3CDC" w:rsidP="00EB3CDC">
      <w:pPr>
        <w:rPr>
          <w:rFonts w:cs="Arial"/>
        </w:rPr>
      </w:pPr>
      <w:r w:rsidRPr="00EB3CDC">
        <w:rPr>
          <w:rFonts w:cs="Arial"/>
        </w:rPr>
        <w:t xml:space="preserve">The purpose of this policy is to ensure assets are identified appropriately and the proper protection controls for those assets are in place. </w:t>
      </w:r>
    </w:p>
    <w:p w14:paraId="0CD09528" w14:textId="77777777" w:rsidR="00E64679" w:rsidRPr="00EB3CDC" w:rsidRDefault="00E64679" w:rsidP="00E64679">
      <w:pPr>
        <w:rPr>
          <w:rFonts w:cs="Arial"/>
        </w:rPr>
      </w:pPr>
    </w:p>
    <w:p w14:paraId="0CD09529" w14:textId="77777777" w:rsidR="00E64679" w:rsidRPr="00EB3CDC" w:rsidRDefault="00E64679" w:rsidP="00E64679">
      <w:pPr>
        <w:pStyle w:val="Heading1"/>
      </w:pPr>
      <w:r w:rsidRPr="00EB3CDC">
        <w:t>Scope</w:t>
      </w:r>
    </w:p>
    <w:p w14:paraId="0CD0952A" w14:textId="7AE7C123" w:rsidR="00E64679" w:rsidRPr="00EB3CDC" w:rsidRDefault="00E64679" w:rsidP="00E64679">
      <w:pPr>
        <w:rPr>
          <w:rFonts w:cs="Arial"/>
          <w:color w:val="808080"/>
          <w:szCs w:val="20"/>
        </w:rPr>
      </w:pPr>
      <w:r w:rsidRPr="00EB3CDC">
        <w:rPr>
          <w:rFonts w:cs="Arial"/>
          <w:color w:val="808080"/>
          <w:szCs w:val="20"/>
        </w:rPr>
        <w:t>Define to whom and to what systems this policy applies. List the employees required to comply, or simply indicate “all” if all must comply. Also indicate any exclusions or exceptions</w:t>
      </w:r>
      <w:r w:rsidR="00B3239C">
        <w:rPr>
          <w:rFonts w:cs="Arial"/>
          <w:color w:val="808080"/>
          <w:szCs w:val="20"/>
        </w:rPr>
        <w:t>,</w:t>
      </w:r>
      <w:r w:rsidRPr="00EB3CDC">
        <w:rPr>
          <w:rFonts w:cs="Arial"/>
          <w:color w:val="808080"/>
          <w:szCs w:val="20"/>
        </w:rPr>
        <w:t xml:space="preserve"> i.e. those people, elements</w:t>
      </w:r>
      <w:r w:rsidR="00B3239C">
        <w:rPr>
          <w:rFonts w:cs="Arial"/>
          <w:color w:val="808080"/>
          <w:szCs w:val="20"/>
        </w:rPr>
        <w:t>,</w:t>
      </w:r>
      <w:r w:rsidRPr="00EB3CDC">
        <w:rPr>
          <w:rFonts w:cs="Arial"/>
          <w:color w:val="808080"/>
          <w:szCs w:val="20"/>
        </w:rPr>
        <w:t xml:space="preserve"> or situations that are not covered by this policy or where special consideration may be made.</w:t>
      </w:r>
    </w:p>
    <w:p w14:paraId="0CD0952B" w14:textId="77777777" w:rsidR="00B502A4" w:rsidRPr="00EB3CDC" w:rsidRDefault="00B502A4" w:rsidP="00E64679">
      <w:pPr>
        <w:rPr>
          <w:rFonts w:cs="Arial"/>
          <w:color w:val="000000" w:themeColor="text1"/>
        </w:rPr>
      </w:pPr>
    </w:p>
    <w:p w14:paraId="0CD0952C" w14:textId="77777777" w:rsidR="00EB3CDC" w:rsidRPr="00EB3CDC" w:rsidRDefault="00EB3CDC" w:rsidP="00EB3CDC">
      <w:pPr>
        <w:rPr>
          <w:rFonts w:cs="Arial"/>
        </w:rPr>
      </w:pPr>
      <w:r w:rsidRPr="00EB3CDC">
        <w:rPr>
          <w:rFonts w:cs="Arial"/>
        </w:rPr>
        <w:t xml:space="preserve">This Asset Management Policy applies to all business processes and data, information systems and components, personnel, and physical areas of </w:t>
      </w:r>
      <w:r w:rsidRPr="00EB3CDC">
        <w:rPr>
          <w:rFonts w:cs="Arial"/>
          <w:color w:val="A6A6A6" w:themeColor="background1" w:themeShade="A6"/>
        </w:rPr>
        <w:t xml:space="preserve">[Insert Company’s Name].  </w:t>
      </w:r>
    </w:p>
    <w:p w14:paraId="0CD0952D" w14:textId="77777777" w:rsidR="00EB3CDC" w:rsidRPr="00EB3CDC" w:rsidRDefault="00EB3CDC" w:rsidP="00E64679">
      <w:pPr>
        <w:rPr>
          <w:rFonts w:cs="Arial"/>
          <w:color w:val="000000" w:themeColor="text1"/>
        </w:rPr>
      </w:pPr>
    </w:p>
    <w:p w14:paraId="0CD0952E" w14:textId="77777777" w:rsidR="00B502A4" w:rsidRPr="00EB3CDC" w:rsidRDefault="00B502A4" w:rsidP="00B502A4">
      <w:pPr>
        <w:pStyle w:val="Heading1"/>
      </w:pPr>
      <w:r w:rsidRPr="00EB3CDC">
        <w:t>Definitions</w:t>
      </w:r>
    </w:p>
    <w:p w14:paraId="0CD0952F" w14:textId="66B648EB" w:rsidR="00B502A4" w:rsidRPr="00EB3CDC" w:rsidRDefault="00B502A4" w:rsidP="00B502A4">
      <w:pPr>
        <w:rPr>
          <w:rFonts w:cs="Arial"/>
          <w:color w:val="808080"/>
        </w:rPr>
      </w:pPr>
      <w:r w:rsidRPr="00EB3CDC">
        <w:rPr>
          <w:rFonts w:cs="Arial"/>
          <w:color w:val="808080"/>
        </w:rPr>
        <w:t>Define any key terms, acronyms</w:t>
      </w:r>
      <w:r w:rsidR="0035527A">
        <w:rPr>
          <w:rFonts w:cs="Arial"/>
          <w:color w:val="808080"/>
        </w:rPr>
        <w:t>,</w:t>
      </w:r>
      <w:r w:rsidRPr="00EB3CDC">
        <w:rPr>
          <w:rFonts w:cs="Arial"/>
          <w:color w:val="808080"/>
        </w:rPr>
        <w:t xml:space="preserve"> or concepts that will be used in the policy. A standard glossary approach is sufficient.</w:t>
      </w:r>
    </w:p>
    <w:p w14:paraId="0CD09530" w14:textId="77777777" w:rsidR="00B502A4" w:rsidRPr="00EB3CDC" w:rsidRDefault="00B502A4" w:rsidP="00B502A4">
      <w:pPr>
        <w:rPr>
          <w:rFonts w:cs="Arial"/>
          <w:color w:val="808080"/>
        </w:rPr>
      </w:pPr>
    </w:p>
    <w:p w14:paraId="0CD09531" w14:textId="0A2B2537" w:rsidR="00B502A4" w:rsidRPr="00EB3CDC" w:rsidRDefault="0035527A" w:rsidP="00B502A4">
      <w:pPr>
        <w:pStyle w:val="Heading1"/>
      </w:pPr>
      <w:r>
        <w:t>Governing Laws,</w:t>
      </w:r>
      <w:r w:rsidR="00B502A4" w:rsidRPr="00EB3CDC">
        <w:t xml:space="preserve"> Regulations</w:t>
      </w:r>
      <w:r>
        <w:t>, and</w:t>
      </w:r>
      <w:r w:rsidR="00EB3CDC" w:rsidRPr="00EB3CDC">
        <w:t xml:space="preserve"> Standards </w:t>
      </w:r>
    </w:p>
    <w:p w14:paraId="0CD09532" w14:textId="77777777" w:rsidR="00B502A4" w:rsidRPr="00EB3CDC" w:rsidRDefault="00B502A4" w:rsidP="00B502A4">
      <w:pPr>
        <w:rPr>
          <w:rFonts w:cs="Arial"/>
          <w:color w:val="808080"/>
        </w:rPr>
      </w:pPr>
      <w:r w:rsidRPr="00EB3CDC">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0CD09533" w14:textId="77777777" w:rsidR="00B502A4" w:rsidRPr="00EB3CDC" w:rsidRDefault="00B502A4" w:rsidP="00B502A4">
      <w:pPr>
        <w:rPr>
          <w:rFonts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6771"/>
      </w:tblGrid>
      <w:tr w:rsidR="00EB3CDC" w:rsidRPr="00EB3CDC" w14:paraId="0CD09536" w14:textId="77777777" w:rsidTr="008F3576">
        <w:tc>
          <w:tcPr>
            <w:tcW w:w="3425" w:type="dxa"/>
            <w:shd w:val="clear" w:color="auto" w:fill="DDDECE"/>
            <w:vAlign w:val="center"/>
          </w:tcPr>
          <w:p w14:paraId="0CD09534" w14:textId="77777777" w:rsidR="00EB3CDC" w:rsidRPr="00EB3CDC" w:rsidRDefault="00EB3CDC" w:rsidP="008F3576">
            <w:pPr>
              <w:rPr>
                <w:rFonts w:cs="Arial"/>
                <w:b/>
              </w:rPr>
            </w:pPr>
            <w:r w:rsidRPr="00EB3CDC">
              <w:rPr>
                <w:rFonts w:cs="Arial"/>
                <w:b/>
              </w:rPr>
              <w:t>Guidance</w:t>
            </w:r>
          </w:p>
        </w:tc>
        <w:tc>
          <w:tcPr>
            <w:tcW w:w="6771" w:type="dxa"/>
            <w:shd w:val="clear" w:color="auto" w:fill="DDDECE"/>
            <w:vAlign w:val="center"/>
          </w:tcPr>
          <w:p w14:paraId="0CD09535" w14:textId="77777777" w:rsidR="00EB3CDC" w:rsidRPr="00EB3CDC" w:rsidRDefault="00EB3CDC" w:rsidP="008F3576">
            <w:pPr>
              <w:rPr>
                <w:rFonts w:cs="Arial"/>
                <w:b/>
              </w:rPr>
            </w:pPr>
            <w:r w:rsidRPr="00EB3CDC">
              <w:rPr>
                <w:rFonts w:cs="Arial"/>
                <w:b/>
              </w:rPr>
              <w:t>Section</w:t>
            </w:r>
          </w:p>
        </w:tc>
      </w:tr>
      <w:tr w:rsidR="00EB3CDC" w:rsidRPr="00EB3CDC" w14:paraId="0CD09539" w14:textId="77777777" w:rsidTr="008F3576">
        <w:tc>
          <w:tcPr>
            <w:tcW w:w="3425" w:type="dxa"/>
          </w:tcPr>
          <w:p w14:paraId="0CD09537" w14:textId="77777777" w:rsidR="00EB3CDC" w:rsidRPr="00EB3CDC" w:rsidRDefault="00EB3CDC" w:rsidP="008F3576">
            <w:pPr>
              <w:rPr>
                <w:rFonts w:cs="Arial"/>
              </w:rPr>
            </w:pPr>
            <w:r w:rsidRPr="00EB3CDC">
              <w:rPr>
                <w:rFonts w:cs="Arial"/>
              </w:rPr>
              <w:t>ISO27001:2013</w:t>
            </w:r>
          </w:p>
        </w:tc>
        <w:tc>
          <w:tcPr>
            <w:tcW w:w="6771" w:type="dxa"/>
          </w:tcPr>
          <w:p w14:paraId="0CD09538" w14:textId="77777777" w:rsidR="00EB3CDC" w:rsidRPr="00EB3CDC" w:rsidRDefault="00EB3CDC" w:rsidP="008F3576">
            <w:pPr>
              <w:rPr>
                <w:rFonts w:cs="Arial"/>
              </w:rPr>
            </w:pPr>
            <w:r w:rsidRPr="00EB3CDC">
              <w:rPr>
                <w:rFonts w:cs="Arial"/>
              </w:rPr>
              <w:t>A.8 (A.8.1., A.8.2., A.8.3.)</w:t>
            </w:r>
          </w:p>
        </w:tc>
      </w:tr>
      <w:tr w:rsidR="00EB3CDC" w:rsidRPr="00EB3CDC" w14:paraId="0CD0953C" w14:textId="77777777" w:rsidTr="008F3576">
        <w:tc>
          <w:tcPr>
            <w:tcW w:w="3425" w:type="dxa"/>
          </w:tcPr>
          <w:p w14:paraId="0CD0953A" w14:textId="77777777" w:rsidR="00EB3CDC" w:rsidRPr="00EB3CDC" w:rsidRDefault="00EB3CDC" w:rsidP="008F3576">
            <w:pPr>
              <w:rPr>
                <w:rFonts w:cs="Arial"/>
              </w:rPr>
            </w:pPr>
            <w:r w:rsidRPr="00EB3CDC">
              <w:rPr>
                <w:rFonts w:cs="Arial"/>
              </w:rPr>
              <w:t>NIST SP 800-53 v4</w:t>
            </w:r>
          </w:p>
        </w:tc>
        <w:tc>
          <w:tcPr>
            <w:tcW w:w="6771" w:type="dxa"/>
          </w:tcPr>
          <w:p w14:paraId="0CD0953B" w14:textId="77777777" w:rsidR="00EB3CDC" w:rsidRPr="00EB3CDC" w:rsidRDefault="00EB3CDC" w:rsidP="008F3576">
            <w:pPr>
              <w:rPr>
                <w:rFonts w:cs="Arial"/>
              </w:rPr>
            </w:pPr>
            <w:r w:rsidRPr="00EB3CDC">
              <w:rPr>
                <w:rFonts w:cs="Arial"/>
              </w:rPr>
              <w:t>AC-3, AC-4, AC-16, AC-20, CM-8, CM-9, MP-2, MP-3, PL-4, PM-5, PS-6, RA-2, SC-16</w:t>
            </w:r>
          </w:p>
        </w:tc>
      </w:tr>
    </w:tbl>
    <w:p w14:paraId="0CD0953D" w14:textId="77777777" w:rsidR="00E64679" w:rsidRPr="00EB3CDC" w:rsidRDefault="00E64679" w:rsidP="00E64679">
      <w:pPr>
        <w:rPr>
          <w:rFonts w:cs="Arial"/>
        </w:rPr>
      </w:pPr>
    </w:p>
    <w:p w14:paraId="0CD0953E" w14:textId="77777777" w:rsidR="00B502A4" w:rsidRPr="00EB3CDC" w:rsidRDefault="00B502A4" w:rsidP="00B502A4">
      <w:pPr>
        <w:pStyle w:val="Heading1"/>
      </w:pPr>
      <w:r w:rsidRPr="00EB3CDC">
        <w:t>Policy Statements</w:t>
      </w:r>
    </w:p>
    <w:p w14:paraId="0CD0953F" w14:textId="77777777" w:rsidR="00B502A4" w:rsidRPr="00EB3CDC" w:rsidRDefault="00B502A4" w:rsidP="00B502A4">
      <w:pPr>
        <w:rPr>
          <w:rFonts w:cs="Arial"/>
          <w:color w:val="808080"/>
          <w:szCs w:val="20"/>
        </w:rPr>
      </w:pPr>
      <w:r w:rsidRPr="00EB3CDC">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0CD09540" w14:textId="77777777" w:rsidR="00A04749" w:rsidRPr="00EB3CDC" w:rsidRDefault="00A04749" w:rsidP="00A04749">
      <w:pPr>
        <w:ind w:left="173"/>
        <w:rPr>
          <w:rFonts w:cs="Arial"/>
          <w:sz w:val="24"/>
        </w:rPr>
      </w:pPr>
    </w:p>
    <w:p w14:paraId="0CD09541" w14:textId="77777777" w:rsidR="00EB3CDC" w:rsidRPr="00EB3CDC" w:rsidRDefault="00EB3CDC" w:rsidP="00EB3CDC">
      <w:pPr>
        <w:pStyle w:val="SoKPolicyThirdLevelContent"/>
        <w:spacing w:after="120"/>
        <w:ind w:left="0"/>
        <w:rPr>
          <w:rFonts w:ascii="Arial" w:hAnsi="Arial" w:cs="Arial"/>
          <w:b/>
          <w:sz w:val="20"/>
        </w:rPr>
      </w:pPr>
      <w:r w:rsidRPr="00EB3CDC">
        <w:rPr>
          <w:rFonts w:ascii="Arial" w:hAnsi="Arial" w:cs="Arial"/>
          <w:b/>
          <w:sz w:val="20"/>
        </w:rPr>
        <w:t xml:space="preserve">Responsibility for Assets: </w:t>
      </w:r>
    </w:p>
    <w:p w14:paraId="0CD09542" w14:textId="77777777" w:rsidR="00EB3CDC" w:rsidRPr="00EB3CDC" w:rsidRDefault="00EB3CDC" w:rsidP="00EB3CDC">
      <w:pPr>
        <w:pStyle w:val="SoKPolicyThirdLevelContent"/>
        <w:numPr>
          <w:ilvl w:val="1"/>
          <w:numId w:val="10"/>
        </w:numPr>
        <w:spacing w:after="120"/>
        <w:rPr>
          <w:rFonts w:ascii="Arial" w:hAnsi="Arial" w:cs="Arial"/>
          <w:sz w:val="20"/>
        </w:rPr>
      </w:pPr>
      <w:r w:rsidRPr="00EB3CDC">
        <w:rPr>
          <w:rFonts w:ascii="Arial" w:hAnsi="Arial" w:cs="Arial"/>
          <w:sz w:val="20"/>
        </w:rPr>
        <w:t>Information or information processing facility assets must be inventoried and documented and that record must be kept up to date.</w:t>
      </w:r>
    </w:p>
    <w:p w14:paraId="0CD09543" w14:textId="77777777" w:rsidR="00EB3CDC" w:rsidRPr="00EB3CDC" w:rsidRDefault="00EB3CDC" w:rsidP="00EB3CDC">
      <w:pPr>
        <w:pStyle w:val="SoKPolicyThirdLevelContent"/>
        <w:numPr>
          <w:ilvl w:val="2"/>
          <w:numId w:val="10"/>
        </w:numPr>
        <w:spacing w:after="120"/>
        <w:rPr>
          <w:rFonts w:ascii="Arial" w:hAnsi="Arial" w:cs="Arial"/>
          <w:sz w:val="20"/>
        </w:rPr>
      </w:pPr>
      <w:r w:rsidRPr="00EB3CDC">
        <w:rPr>
          <w:rFonts w:ascii="Arial" w:hAnsi="Arial" w:cs="Arial"/>
          <w:sz w:val="20"/>
        </w:rPr>
        <w:t>Inventory categorization must be approved by the appropriate parties or authorizing authority.</w:t>
      </w:r>
    </w:p>
    <w:p w14:paraId="0CD09544" w14:textId="77777777" w:rsidR="00EB3CDC" w:rsidRPr="00EB3CDC" w:rsidRDefault="00EB3CDC" w:rsidP="00EB3CDC">
      <w:pPr>
        <w:pStyle w:val="SoKPolicyThirdLevelContent"/>
        <w:numPr>
          <w:ilvl w:val="2"/>
          <w:numId w:val="10"/>
        </w:numPr>
        <w:spacing w:after="120"/>
        <w:rPr>
          <w:rFonts w:ascii="Arial" w:hAnsi="Arial" w:cs="Arial"/>
          <w:sz w:val="20"/>
        </w:rPr>
      </w:pPr>
      <w:r w:rsidRPr="00EB3CDC">
        <w:rPr>
          <w:rFonts w:ascii="Arial" w:hAnsi="Arial" w:cs="Arial"/>
          <w:sz w:val="20"/>
        </w:rPr>
        <w:lastRenderedPageBreak/>
        <w:t xml:space="preserve">Organization will employ use of automated mechanisms to identify unauthorized systems including hardware or software. </w:t>
      </w:r>
    </w:p>
    <w:p w14:paraId="0CD09545" w14:textId="77777777" w:rsidR="00EB3CDC" w:rsidRPr="00EB3CDC" w:rsidRDefault="00EB3CDC" w:rsidP="00EB3CDC">
      <w:pPr>
        <w:pStyle w:val="ListParagraph"/>
        <w:numPr>
          <w:ilvl w:val="2"/>
          <w:numId w:val="10"/>
        </w:numPr>
        <w:spacing w:after="120"/>
        <w:rPr>
          <w:rFonts w:cs="Arial"/>
          <w:szCs w:val="20"/>
          <w:lang w:eastAsia="en-CA"/>
        </w:rPr>
      </w:pPr>
      <w:r w:rsidRPr="00EB3CDC">
        <w:rPr>
          <w:rFonts w:cs="Arial"/>
          <w:szCs w:val="20"/>
          <w:lang w:eastAsia="en-CA"/>
        </w:rPr>
        <w:t>Inventory must also include information system updates or removals.</w:t>
      </w:r>
    </w:p>
    <w:p w14:paraId="0CD09546" w14:textId="77777777" w:rsidR="00EB3CDC" w:rsidRPr="00EB3CDC" w:rsidRDefault="00EB3CDC" w:rsidP="00EB3CDC">
      <w:pPr>
        <w:pStyle w:val="SoKPolicyThirdLevelContent"/>
        <w:numPr>
          <w:ilvl w:val="1"/>
          <w:numId w:val="10"/>
        </w:numPr>
        <w:spacing w:after="120"/>
        <w:rPr>
          <w:rFonts w:ascii="Arial" w:hAnsi="Arial" w:cs="Arial"/>
          <w:sz w:val="20"/>
        </w:rPr>
      </w:pPr>
      <w:r w:rsidRPr="00EB3CDC">
        <w:rPr>
          <w:rFonts w:ascii="Arial" w:hAnsi="Arial" w:cs="Arial"/>
          <w:sz w:val="20"/>
        </w:rPr>
        <w:t xml:space="preserve">This process must be assigned to an owner to maintain the process. </w:t>
      </w:r>
    </w:p>
    <w:p w14:paraId="0CD09547" w14:textId="77777777" w:rsidR="00EB3CDC" w:rsidRPr="00EB3CDC" w:rsidRDefault="00EB3CDC" w:rsidP="00EB3CDC">
      <w:pPr>
        <w:pStyle w:val="SoKPolicyThirdLevelContent"/>
        <w:numPr>
          <w:ilvl w:val="2"/>
          <w:numId w:val="10"/>
        </w:numPr>
        <w:spacing w:after="120"/>
        <w:rPr>
          <w:rFonts w:ascii="Arial" w:hAnsi="Arial" w:cs="Arial"/>
          <w:sz w:val="20"/>
        </w:rPr>
      </w:pPr>
      <w:r w:rsidRPr="00EB3CDC">
        <w:rPr>
          <w:rFonts w:ascii="Arial" w:hAnsi="Arial" w:cs="Arial"/>
          <w:sz w:val="20"/>
        </w:rPr>
        <w:t>Individuals requiring access to the information systems must follow proper procedure to receive such access, such as signed acknowledgement of standards and consequences.</w:t>
      </w:r>
    </w:p>
    <w:p w14:paraId="0CD09548" w14:textId="77777777" w:rsidR="00EB3CDC" w:rsidRPr="00EB3CDC" w:rsidRDefault="00EB3CDC" w:rsidP="00EB3CDC">
      <w:pPr>
        <w:pStyle w:val="SoKPolicyThirdLevelContent"/>
        <w:numPr>
          <w:ilvl w:val="1"/>
          <w:numId w:val="10"/>
        </w:numPr>
        <w:spacing w:after="120"/>
        <w:rPr>
          <w:rFonts w:ascii="Arial" w:hAnsi="Arial" w:cs="Arial"/>
          <w:sz w:val="20"/>
        </w:rPr>
      </w:pPr>
      <w:r w:rsidRPr="00EB3CDC">
        <w:rPr>
          <w:rFonts w:ascii="Arial" w:hAnsi="Arial" w:cs="Arial"/>
          <w:sz w:val="20"/>
        </w:rPr>
        <w:t>The following assets should be considered in the inventory process:</w:t>
      </w:r>
    </w:p>
    <w:p w14:paraId="0CD09549" w14:textId="77777777" w:rsidR="00EB3CDC" w:rsidRPr="00EB3CDC" w:rsidRDefault="00EB3CDC" w:rsidP="00EB3CDC">
      <w:pPr>
        <w:pStyle w:val="SoKPolicyThirdLevelContent"/>
        <w:numPr>
          <w:ilvl w:val="2"/>
          <w:numId w:val="10"/>
        </w:numPr>
        <w:spacing w:after="120"/>
        <w:rPr>
          <w:rFonts w:ascii="Arial" w:hAnsi="Arial" w:cs="Arial"/>
          <w:color w:val="A6A6A6" w:themeColor="background1" w:themeShade="A6"/>
          <w:sz w:val="20"/>
        </w:rPr>
      </w:pPr>
      <w:r w:rsidRPr="00EB3CDC">
        <w:rPr>
          <w:rFonts w:ascii="Arial" w:hAnsi="Arial" w:cs="Arial"/>
          <w:color w:val="A6A6A6" w:themeColor="background1" w:themeShade="A6"/>
          <w:sz w:val="20"/>
        </w:rPr>
        <w:t>Authorized assets</w:t>
      </w:r>
    </w:p>
    <w:p w14:paraId="0CD0954A" w14:textId="77777777" w:rsidR="00EB3CDC" w:rsidRPr="00EB3CDC" w:rsidRDefault="00EB3CDC" w:rsidP="00EB3CDC">
      <w:pPr>
        <w:pStyle w:val="SoKPolicyThirdLevelContent"/>
        <w:numPr>
          <w:ilvl w:val="2"/>
          <w:numId w:val="10"/>
        </w:numPr>
        <w:spacing w:after="120"/>
        <w:rPr>
          <w:rFonts w:ascii="Arial" w:hAnsi="Arial" w:cs="Arial"/>
          <w:color w:val="A6A6A6" w:themeColor="background1" w:themeShade="A6"/>
          <w:sz w:val="20"/>
        </w:rPr>
      </w:pPr>
      <w:r w:rsidRPr="00EB3CDC">
        <w:rPr>
          <w:rFonts w:ascii="Arial" w:hAnsi="Arial" w:cs="Arial"/>
          <w:color w:val="A6A6A6" w:themeColor="background1" w:themeShade="A6"/>
          <w:sz w:val="20"/>
        </w:rPr>
        <w:t xml:space="preserve">Unauthorized assets </w:t>
      </w:r>
    </w:p>
    <w:p w14:paraId="0CD0954B" w14:textId="77777777" w:rsidR="00EB3CDC" w:rsidRPr="00EB3CDC" w:rsidRDefault="00EB3CDC" w:rsidP="00EB3CDC">
      <w:pPr>
        <w:pStyle w:val="SoKPolicyThirdLevelContent"/>
        <w:numPr>
          <w:ilvl w:val="2"/>
          <w:numId w:val="10"/>
        </w:numPr>
        <w:spacing w:after="120"/>
        <w:rPr>
          <w:rFonts w:ascii="Arial" w:hAnsi="Arial" w:cs="Arial"/>
          <w:color w:val="A6A6A6" w:themeColor="background1" w:themeShade="A6"/>
          <w:sz w:val="20"/>
        </w:rPr>
      </w:pPr>
      <w:r w:rsidRPr="00EB3CDC">
        <w:rPr>
          <w:rFonts w:ascii="Arial" w:hAnsi="Arial" w:cs="Arial"/>
          <w:color w:val="A6A6A6" w:themeColor="background1" w:themeShade="A6"/>
          <w:sz w:val="20"/>
        </w:rPr>
        <w:t>Software</w:t>
      </w:r>
    </w:p>
    <w:p w14:paraId="0CD0954C" w14:textId="77777777" w:rsidR="00EB3CDC" w:rsidRPr="00EB3CDC" w:rsidRDefault="00EB3CDC" w:rsidP="00EB3CDC">
      <w:pPr>
        <w:pStyle w:val="SoKPolicyThirdLevelContent"/>
        <w:numPr>
          <w:ilvl w:val="2"/>
          <w:numId w:val="10"/>
        </w:numPr>
        <w:spacing w:after="120"/>
        <w:rPr>
          <w:rFonts w:ascii="Arial" w:hAnsi="Arial" w:cs="Arial"/>
          <w:color w:val="A6A6A6" w:themeColor="background1" w:themeShade="A6"/>
          <w:sz w:val="20"/>
        </w:rPr>
      </w:pPr>
      <w:r w:rsidRPr="00EB3CDC">
        <w:rPr>
          <w:rFonts w:ascii="Arial" w:hAnsi="Arial" w:cs="Arial"/>
          <w:color w:val="A6A6A6" w:themeColor="background1" w:themeShade="A6"/>
          <w:sz w:val="20"/>
        </w:rPr>
        <w:t>Databases</w:t>
      </w:r>
    </w:p>
    <w:p w14:paraId="0CD0954D" w14:textId="77777777" w:rsidR="00EB3CDC" w:rsidRPr="00EB3CDC" w:rsidRDefault="00EB3CDC" w:rsidP="00EB3CDC">
      <w:pPr>
        <w:pStyle w:val="SoKPolicyThirdLevelContent"/>
        <w:numPr>
          <w:ilvl w:val="2"/>
          <w:numId w:val="10"/>
        </w:numPr>
        <w:spacing w:after="120"/>
        <w:rPr>
          <w:rFonts w:ascii="Arial" w:hAnsi="Arial" w:cs="Arial"/>
          <w:color w:val="A6A6A6" w:themeColor="background1" w:themeShade="A6"/>
          <w:sz w:val="20"/>
        </w:rPr>
      </w:pPr>
      <w:r w:rsidRPr="00EB3CDC">
        <w:rPr>
          <w:rFonts w:ascii="Arial" w:hAnsi="Arial" w:cs="Arial"/>
          <w:color w:val="A6A6A6" w:themeColor="background1" w:themeShade="A6"/>
          <w:sz w:val="20"/>
        </w:rPr>
        <w:t>Information stores</w:t>
      </w:r>
    </w:p>
    <w:p w14:paraId="0CD0954E" w14:textId="77777777" w:rsidR="00EB3CDC" w:rsidRPr="00EB3CDC" w:rsidRDefault="00EB3CDC" w:rsidP="00EB3CDC">
      <w:pPr>
        <w:pStyle w:val="SoKPolicyThirdLevelContent"/>
        <w:numPr>
          <w:ilvl w:val="2"/>
          <w:numId w:val="10"/>
        </w:numPr>
        <w:spacing w:after="120"/>
        <w:rPr>
          <w:rFonts w:ascii="Arial" w:hAnsi="Arial" w:cs="Arial"/>
          <w:color w:val="A6A6A6" w:themeColor="background1" w:themeShade="A6"/>
          <w:sz w:val="20"/>
        </w:rPr>
      </w:pPr>
      <w:r w:rsidRPr="00EB3CDC">
        <w:rPr>
          <w:rFonts w:ascii="Arial" w:hAnsi="Arial" w:cs="Arial"/>
          <w:color w:val="A6A6A6" w:themeColor="background1" w:themeShade="A6"/>
          <w:sz w:val="20"/>
        </w:rPr>
        <w:t>Physical assets</w:t>
      </w:r>
    </w:p>
    <w:p w14:paraId="0CD0954F" w14:textId="77777777" w:rsidR="00EB3CDC" w:rsidRPr="00EB3CDC" w:rsidRDefault="00EB3CDC" w:rsidP="00EB3CDC">
      <w:pPr>
        <w:pStyle w:val="SoKPolicyThirdLevelContent"/>
        <w:numPr>
          <w:ilvl w:val="2"/>
          <w:numId w:val="10"/>
        </w:numPr>
        <w:spacing w:after="120"/>
        <w:rPr>
          <w:rFonts w:ascii="Arial" w:hAnsi="Arial" w:cs="Arial"/>
          <w:color w:val="A6A6A6" w:themeColor="background1" w:themeShade="A6"/>
          <w:sz w:val="20"/>
        </w:rPr>
      </w:pPr>
      <w:r w:rsidRPr="00EB3CDC">
        <w:rPr>
          <w:rFonts w:ascii="Arial" w:hAnsi="Arial" w:cs="Arial"/>
          <w:color w:val="A6A6A6" w:themeColor="background1" w:themeShade="A6"/>
          <w:sz w:val="20"/>
        </w:rPr>
        <w:t>Services</w:t>
      </w:r>
    </w:p>
    <w:p w14:paraId="0CD09550" w14:textId="77777777" w:rsidR="00EB3CDC" w:rsidRPr="00EB3CDC" w:rsidRDefault="00EB3CDC" w:rsidP="00EB3CDC">
      <w:pPr>
        <w:pStyle w:val="SoKPolicyThirdLevelContent"/>
        <w:numPr>
          <w:ilvl w:val="2"/>
          <w:numId w:val="10"/>
        </w:numPr>
        <w:spacing w:after="120"/>
        <w:rPr>
          <w:rFonts w:ascii="Arial" w:hAnsi="Arial" w:cs="Arial"/>
          <w:color w:val="A6A6A6" w:themeColor="background1" w:themeShade="A6"/>
          <w:sz w:val="20"/>
        </w:rPr>
      </w:pPr>
      <w:r w:rsidRPr="00EB3CDC">
        <w:rPr>
          <w:rFonts w:ascii="Arial" w:hAnsi="Arial" w:cs="Arial"/>
          <w:color w:val="A6A6A6" w:themeColor="background1" w:themeShade="A6"/>
          <w:sz w:val="20"/>
        </w:rPr>
        <w:t>People</w:t>
      </w:r>
    </w:p>
    <w:p w14:paraId="0CD09551" w14:textId="77777777" w:rsidR="00EB3CDC" w:rsidRPr="00EB3CDC" w:rsidRDefault="00EB3CDC" w:rsidP="00EB3CDC">
      <w:pPr>
        <w:pStyle w:val="SoKPolicyThirdLevelContent"/>
        <w:numPr>
          <w:ilvl w:val="2"/>
          <w:numId w:val="10"/>
        </w:numPr>
        <w:spacing w:after="120"/>
        <w:rPr>
          <w:rFonts w:ascii="Arial" w:hAnsi="Arial" w:cs="Arial"/>
          <w:color w:val="A6A6A6" w:themeColor="background1" w:themeShade="A6"/>
          <w:sz w:val="20"/>
        </w:rPr>
      </w:pPr>
      <w:r w:rsidRPr="00EB3CDC">
        <w:rPr>
          <w:rFonts w:ascii="Arial" w:hAnsi="Arial" w:cs="Arial"/>
          <w:color w:val="A6A6A6" w:themeColor="background1" w:themeShade="A6"/>
          <w:sz w:val="20"/>
        </w:rPr>
        <w:t xml:space="preserve">Tangibles </w:t>
      </w:r>
    </w:p>
    <w:p w14:paraId="0CD09552" w14:textId="77777777" w:rsidR="00EB3CDC" w:rsidRPr="00EB3CDC" w:rsidRDefault="00EB3CDC" w:rsidP="00EB3CDC">
      <w:pPr>
        <w:pStyle w:val="SoKPolicyThirdLevelContent"/>
        <w:numPr>
          <w:ilvl w:val="1"/>
          <w:numId w:val="10"/>
        </w:numPr>
        <w:spacing w:after="120"/>
        <w:rPr>
          <w:rFonts w:ascii="Arial" w:hAnsi="Arial" w:cs="Arial"/>
          <w:color w:val="000000" w:themeColor="text1"/>
          <w:sz w:val="20"/>
        </w:rPr>
      </w:pPr>
      <w:r w:rsidRPr="00EB3CDC">
        <w:rPr>
          <w:rFonts w:ascii="Arial" w:hAnsi="Arial" w:cs="Arial"/>
          <w:color w:val="000000" w:themeColor="text1"/>
          <w:sz w:val="20"/>
        </w:rPr>
        <w:t>Processes around configuration management will be established as well.</w:t>
      </w:r>
    </w:p>
    <w:p w14:paraId="0CD09553" w14:textId="77777777" w:rsidR="00EB3CDC" w:rsidRPr="00EB3CDC" w:rsidRDefault="00EB3CDC" w:rsidP="00EB3CDC">
      <w:pPr>
        <w:pStyle w:val="SoKPolicyThirdLevelContent"/>
        <w:numPr>
          <w:ilvl w:val="1"/>
          <w:numId w:val="10"/>
        </w:numPr>
        <w:spacing w:after="120"/>
        <w:rPr>
          <w:rFonts w:ascii="Arial" w:hAnsi="Arial" w:cs="Arial"/>
          <w:color w:val="000000" w:themeColor="text1"/>
          <w:sz w:val="20"/>
        </w:rPr>
      </w:pPr>
      <w:r w:rsidRPr="00EB3CDC">
        <w:rPr>
          <w:rFonts w:ascii="Arial" w:hAnsi="Arial" w:cs="Arial"/>
          <w:color w:val="000000" w:themeColor="text1"/>
          <w:sz w:val="20"/>
        </w:rPr>
        <w:t>All assets must be returned upon termination of employment or contract.</w:t>
      </w:r>
    </w:p>
    <w:p w14:paraId="0CD09554" w14:textId="77777777" w:rsidR="00EB3CDC" w:rsidRPr="00EB3CDC" w:rsidRDefault="00EB3CDC" w:rsidP="00EB3CDC">
      <w:pPr>
        <w:pStyle w:val="SoKPolicyThirdLevelContent"/>
        <w:spacing w:after="120"/>
        <w:ind w:left="0"/>
        <w:rPr>
          <w:rFonts w:ascii="Arial" w:hAnsi="Arial" w:cs="Arial"/>
          <w:sz w:val="20"/>
        </w:rPr>
      </w:pPr>
      <w:r w:rsidRPr="00EB3CDC">
        <w:rPr>
          <w:rFonts w:ascii="Arial" w:hAnsi="Arial" w:cs="Arial"/>
          <w:b/>
          <w:sz w:val="20"/>
        </w:rPr>
        <w:t xml:space="preserve">Information Classification: </w:t>
      </w:r>
    </w:p>
    <w:p w14:paraId="0CD09555" w14:textId="77777777" w:rsidR="00EB3CDC" w:rsidRPr="00EB3CDC" w:rsidRDefault="00EB3CDC" w:rsidP="00EB3CDC">
      <w:pPr>
        <w:pStyle w:val="SoKPolicyThirdLevelContent"/>
        <w:numPr>
          <w:ilvl w:val="1"/>
          <w:numId w:val="10"/>
        </w:numPr>
        <w:spacing w:after="120"/>
        <w:rPr>
          <w:rFonts w:ascii="Arial" w:hAnsi="Arial" w:cs="Arial"/>
          <w:sz w:val="20"/>
        </w:rPr>
      </w:pPr>
      <w:r w:rsidRPr="00EB3CDC">
        <w:rPr>
          <w:rFonts w:ascii="Arial" w:hAnsi="Arial" w:cs="Arial"/>
          <w:color w:val="000000"/>
          <w:sz w:val="20"/>
        </w:rPr>
        <w:t>All assets must be classified in terms of legal requirements, value to the organization, their criticality to the organization, and sensitivity if they were to be disclosed by an unauthorized party.</w:t>
      </w:r>
    </w:p>
    <w:p w14:paraId="0CD09556" w14:textId="77777777" w:rsidR="00EB3CDC" w:rsidRPr="00EB3CDC" w:rsidRDefault="00EB3CDC" w:rsidP="00EB3CDC">
      <w:pPr>
        <w:pStyle w:val="SoKPolicyThirdLevelContent"/>
        <w:numPr>
          <w:ilvl w:val="1"/>
          <w:numId w:val="10"/>
        </w:numPr>
        <w:spacing w:after="120"/>
        <w:rPr>
          <w:rFonts w:ascii="Arial" w:hAnsi="Arial" w:cs="Arial"/>
          <w:sz w:val="20"/>
        </w:rPr>
      </w:pPr>
      <w:r w:rsidRPr="00EB3CDC">
        <w:rPr>
          <w:rFonts w:ascii="Arial" w:hAnsi="Arial" w:cs="Arial"/>
          <w:color w:val="A6A6A6" w:themeColor="background1" w:themeShade="A6"/>
          <w:sz w:val="20"/>
        </w:rPr>
        <w:t xml:space="preserve">[Insert Company’s Name] </w:t>
      </w:r>
      <w:r w:rsidRPr="00EB3CDC">
        <w:rPr>
          <w:rFonts w:ascii="Arial" w:hAnsi="Arial" w:cs="Arial"/>
          <w:sz w:val="20"/>
        </w:rPr>
        <w:t>data shall be classified into one of the following categories:</w:t>
      </w:r>
    </w:p>
    <w:p w14:paraId="0CD09557" w14:textId="77777777" w:rsidR="00EB3CDC" w:rsidRPr="00EB3CDC" w:rsidRDefault="00EB3CDC" w:rsidP="00EB3CDC">
      <w:pPr>
        <w:pStyle w:val="SoKPolicyThirdLevelContent"/>
        <w:numPr>
          <w:ilvl w:val="2"/>
          <w:numId w:val="10"/>
        </w:numPr>
        <w:spacing w:after="120"/>
        <w:rPr>
          <w:rFonts w:ascii="Arial" w:hAnsi="Arial" w:cs="Arial"/>
          <w:sz w:val="20"/>
        </w:rPr>
      </w:pPr>
      <w:r w:rsidRPr="00EB3CDC">
        <w:rPr>
          <w:rFonts w:ascii="Arial" w:hAnsi="Arial" w:cs="Arial"/>
          <w:sz w:val="20"/>
        </w:rPr>
        <w:t>Top Secret: Critical information whose existence or content is only known to a small group of individuals. Disclosure of this information would harm the company or impede ability to achieve corporate objectives.</w:t>
      </w:r>
    </w:p>
    <w:p w14:paraId="0CD09558" w14:textId="77777777" w:rsidR="00EB3CDC" w:rsidRPr="00EB3CDC" w:rsidRDefault="00EB3CDC" w:rsidP="00EB3CDC">
      <w:pPr>
        <w:pStyle w:val="SoKPolicyThirdLevelContent"/>
        <w:numPr>
          <w:ilvl w:val="2"/>
          <w:numId w:val="10"/>
        </w:numPr>
        <w:spacing w:after="120"/>
        <w:rPr>
          <w:rFonts w:ascii="Arial" w:hAnsi="Arial" w:cs="Arial"/>
          <w:sz w:val="20"/>
        </w:rPr>
      </w:pPr>
      <w:r w:rsidRPr="00EB3CDC">
        <w:rPr>
          <w:rFonts w:ascii="Arial" w:hAnsi="Arial" w:cs="Arial"/>
          <w:sz w:val="20"/>
        </w:rPr>
        <w:t>Sensitive: Sensitive information requires an elevated level of protection (e.g. encryption) to satisfy regulatory requirements or prevent its unintended disclosure. Information is disclosed only to authorized individuals on a need-to-know basis.</w:t>
      </w:r>
    </w:p>
    <w:p w14:paraId="0CD09559" w14:textId="77777777" w:rsidR="00EB3CDC" w:rsidRPr="00EB3CDC" w:rsidRDefault="00EB3CDC" w:rsidP="00EB3CDC">
      <w:pPr>
        <w:pStyle w:val="SoKPolicyThirdLevelContent"/>
        <w:numPr>
          <w:ilvl w:val="2"/>
          <w:numId w:val="10"/>
        </w:numPr>
        <w:spacing w:after="120"/>
        <w:rPr>
          <w:rFonts w:ascii="Arial" w:hAnsi="Arial" w:cs="Arial"/>
          <w:sz w:val="20"/>
        </w:rPr>
      </w:pPr>
      <w:r w:rsidRPr="00EB3CDC">
        <w:rPr>
          <w:rFonts w:ascii="Arial" w:hAnsi="Arial" w:cs="Arial"/>
          <w:sz w:val="20"/>
        </w:rPr>
        <w:t xml:space="preserve">Business Confidential: Business confidential information / data is used to conduct normal business operations of </w:t>
      </w:r>
      <w:r w:rsidRPr="00EB3CDC">
        <w:rPr>
          <w:rFonts w:ascii="Arial" w:hAnsi="Arial" w:cs="Arial"/>
          <w:color w:val="A6A6A6" w:themeColor="background1" w:themeShade="A6"/>
          <w:sz w:val="20"/>
        </w:rPr>
        <w:t xml:space="preserve">[Insert Company’s Name]. </w:t>
      </w:r>
      <w:r w:rsidRPr="00EB3CDC">
        <w:rPr>
          <w:rFonts w:ascii="Arial" w:hAnsi="Arial" w:cs="Arial"/>
          <w:sz w:val="20"/>
        </w:rPr>
        <w:t>Normal levels of confidentiality (per the Employee Code of Conduct) are applied. The intention is to minimize the impact upon business operations.</w:t>
      </w:r>
    </w:p>
    <w:p w14:paraId="0CD0955A" w14:textId="77777777" w:rsidR="00EB3CDC" w:rsidRPr="00EB3CDC" w:rsidRDefault="00EB3CDC" w:rsidP="00EB3CDC">
      <w:pPr>
        <w:pStyle w:val="SoKPolicyThirdLevelContent"/>
        <w:numPr>
          <w:ilvl w:val="2"/>
          <w:numId w:val="10"/>
        </w:numPr>
        <w:spacing w:after="120"/>
        <w:rPr>
          <w:rFonts w:ascii="Arial" w:hAnsi="Arial" w:cs="Arial"/>
          <w:sz w:val="20"/>
        </w:rPr>
      </w:pPr>
      <w:r w:rsidRPr="00EB3CDC">
        <w:rPr>
          <w:rFonts w:ascii="Arial" w:hAnsi="Arial" w:cs="Arial"/>
          <w:sz w:val="20"/>
        </w:rPr>
        <w:t>Internal Use: Internal use data / information is used to support the business operations of a department. The information is intended for internal use only.</w:t>
      </w:r>
    </w:p>
    <w:p w14:paraId="0CD0955B" w14:textId="77777777" w:rsidR="00EB3CDC" w:rsidRPr="00EB3CDC" w:rsidRDefault="00EB3CDC" w:rsidP="00EB3CDC">
      <w:pPr>
        <w:pStyle w:val="SoKPolicyThirdLevelContent"/>
        <w:numPr>
          <w:ilvl w:val="2"/>
          <w:numId w:val="10"/>
        </w:numPr>
        <w:spacing w:after="120"/>
        <w:rPr>
          <w:rFonts w:ascii="Arial" w:hAnsi="Arial" w:cs="Arial"/>
          <w:sz w:val="20"/>
        </w:rPr>
      </w:pPr>
      <w:r w:rsidRPr="00EB3CDC">
        <w:rPr>
          <w:rFonts w:ascii="Arial" w:hAnsi="Arial" w:cs="Arial"/>
          <w:sz w:val="20"/>
        </w:rPr>
        <w:t>Public: Public information is such that</w:t>
      </w:r>
      <w:r w:rsidRPr="00EB3CDC">
        <w:rPr>
          <w:rFonts w:ascii="Arial" w:hAnsi="Arial" w:cs="Arial"/>
          <w:color w:val="A6A6A6" w:themeColor="background1" w:themeShade="A6"/>
          <w:sz w:val="20"/>
        </w:rPr>
        <w:t xml:space="preserve"> [Insert Company’s Name] </w:t>
      </w:r>
      <w:r w:rsidRPr="00EB3CDC">
        <w:rPr>
          <w:rFonts w:ascii="Arial" w:hAnsi="Arial" w:cs="Arial"/>
          <w:sz w:val="20"/>
        </w:rPr>
        <w:t xml:space="preserve">has published for general or public consumption, or publicly known information that </w:t>
      </w:r>
      <w:r w:rsidRPr="00EB3CDC">
        <w:rPr>
          <w:rFonts w:ascii="Arial" w:hAnsi="Arial" w:cs="Arial"/>
          <w:color w:val="A6A6A6" w:themeColor="background1" w:themeShade="A6"/>
          <w:sz w:val="20"/>
        </w:rPr>
        <w:t xml:space="preserve">[Insert Company’s Name] </w:t>
      </w:r>
      <w:r w:rsidRPr="00EB3CDC">
        <w:rPr>
          <w:rFonts w:ascii="Arial" w:hAnsi="Arial" w:cs="Arial"/>
          <w:sz w:val="20"/>
        </w:rPr>
        <w:t>has received from other organizations.</w:t>
      </w:r>
    </w:p>
    <w:p w14:paraId="0CD0955C" w14:textId="77777777" w:rsidR="00EB3CDC" w:rsidRPr="00EB3CDC" w:rsidRDefault="00EB3CDC" w:rsidP="00EB3CDC">
      <w:pPr>
        <w:pStyle w:val="SoKPolicyThirdLevelContent"/>
        <w:numPr>
          <w:ilvl w:val="1"/>
          <w:numId w:val="10"/>
        </w:numPr>
        <w:spacing w:after="120"/>
        <w:rPr>
          <w:rFonts w:ascii="Arial" w:hAnsi="Arial" w:cs="Arial"/>
          <w:sz w:val="20"/>
        </w:rPr>
      </w:pPr>
      <w:r w:rsidRPr="00EB3CDC">
        <w:rPr>
          <w:rFonts w:ascii="Arial" w:hAnsi="Arial" w:cs="Arial"/>
          <w:sz w:val="20"/>
        </w:rPr>
        <w:t>Assets will be labeled and handled based on appropriate information classification procedures used by the organization.</w:t>
      </w:r>
    </w:p>
    <w:p w14:paraId="0CD0955D" w14:textId="77777777" w:rsidR="00EB3CDC" w:rsidRPr="00EB3CDC" w:rsidRDefault="00EB3CDC" w:rsidP="00EB3CDC">
      <w:pPr>
        <w:pStyle w:val="SoKPolicyThirdLevelContent"/>
        <w:spacing w:after="120"/>
        <w:ind w:left="0"/>
        <w:rPr>
          <w:rFonts w:ascii="Arial" w:hAnsi="Arial" w:cs="Arial"/>
          <w:b/>
          <w:color w:val="000000"/>
          <w:sz w:val="20"/>
        </w:rPr>
      </w:pPr>
      <w:r w:rsidRPr="00EB3CDC">
        <w:rPr>
          <w:rFonts w:ascii="Arial" w:hAnsi="Arial" w:cs="Arial"/>
          <w:b/>
          <w:color w:val="000000"/>
          <w:sz w:val="20"/>
        </w:rPr>
        <w:t xml:space="preserve">Media Handling: </w:t>
      </w:r>
    </w:p>
    <w:p w14:paraId="0CD0955E" w14:textId="77777777" w:rsidR="00EB3CDC" w:rsidRPr="00EB3CDC" w:rsidRDefault="00EB3CDC" w:rsidP="00EB3CDC">
      <w:pPr>
        <w:pStyle w:val="SoKPolicyThirdLevelContent"/>
        <w:numPr>
          <w:ilvl w:val="0"/>
          <w:numId w:val="11"/>
        </w:numPr>
        <w:spacing w:after="120"/>
        <w:rPr>
          <w:rFonts w:ascii="Arial" w:hAnsi="Arial" w:cs="Arial"/>
          <w:sz w:val="20"/>
        </w:rPr>
      </w:pPr>
      <w:r w:rsidRPr="00EB3CDC">
        <w:rPr>
          <w:rFonts w:ascii="Arial" w:hAnsi="Arial" w:cs="Arial"/>
          <w:sz w:val="20"/>
        </w:rPr>
        <w:t>Removable media must also be managed by the same asset classification procedure used by the organization.</w:t>
      </w:r>
    </w:p>
    <w:p w14:paraId="0CD0955F" w14:textId="77777777" w:rsidR="00EB3CDC" w:rsidRPr="00EB3CDC" w:rsidRDefault="00EB3CDC" w:rsidP="00EB3CDC">
      <w:pPr>
        <w:pStyle w:val="SoKPolicyThirdLevelContent"/>
        <w:numPr>
          <w:ilvl w:val="0"/>
          <w:numId w:val="11"/>
        </w:numPr>
        <w:spacing w:after="120"/>
        <w:rPr>
          <w:rFonts w:ascii="Arial" w:hAnsi="Arial" w:cs="Arial"/>
          <w:sz w:val="20"/>
        </w:rPr>
      </w:pPr>
      <w:r w:rsidRPr="00EB3CDC">
        <w:rPr>
          <w:rFonts w:ascii="Arial" w:hAnsi="Arial" w:cs="Arial"/>
          <w:sz w:val="20"/>
        </w:rPr>
        <w:t>Removable media must be protected against unauthorized access and misuse while in use and in transit, and must be disposed of securely, using appropriate procedures.</w:t>
      </w:r>
    </w:p>
    <w:p w14:paraId="0CD09560" w14:textId="77777777" w:rsidR="00EB3CDC" w:rsidRPr="00EB3CDC" w:rsidRDefault="00EB3CDC" w:rsidP="00EB3CDC">
      <w:pPr>
        <w:pStyle w:val="SoKPolicyThirdLevelContent"/>
        <w:numPr>
          <w:ilvl w:val="0"/>
          <w:numId w:val="11"/>
        </w:numPr>
        <w:spacing w:after="120"/>
        <w:rPr>
          <w:rFonts w:ascii="Arial" w:hAnsi="Arial" w:cs="Arial"/>
          <w:sz w:val="20"/>
        </w:rPr>
      </w:pPr>
      <w:r w:rsidRPr="00EB3CDC">
        <w:rPr>
          <w:rFonts w:ascii="Arial" w:hAnsi="Arial" w:cs="Arial"/>
          <w:sz w:val="20"/>
        </w:rPr>
        <w:lastRenderedPageBreak/>
        <w:t>Media containing information shall be protected against unauthorized access, misuse, or corruption during transportation.</w:t>
      </w:r>
    </w:p>
    <w:p w14:paraId="0CD09561" w14:textId="77777777" w:rsidR="00EB3CDC" w:rsidRPr="00EB3CDC" w:rsidRDefault="00EB3CDC" w:rsidP="00EB3CDC">
      <w:pPr>
        <w:pStyle w:val="SoKPolicyThirdLevelContent"/>
        <w:spacing w:after="120"/>
        <w:ind w:left="0"/>
        <w:rPr>
          <w:rFonts w:ascii="Arial" w:hAnsi="Arial" w:cs="Arial"/>
          <w:b/>
          <w:sz w:val="20"/>
        </w:rPr>
      </w:pPr>
      <w:r w:rsidRPr="00EB3CDC">
        <w:rPr>
          <w:rFonts w:ascii="Arial" w:hAnsi="Arial" w:cs="Arial"/>
          <w:b/>
          <w:sz w:val="20"/>
        </w:rPr>
        <w:t xml:space="preserve">Acceptable Use: </w:t>
      </w:r>
    </w:p>
    <w:p w14:paraId="0CD09562" w14:textId="77777777" w:rsidR="00EB3CDC" w:rsidRPr="00EB3CDC" w:rsidRDefault="00EB3CDC" w:rsidP="00EB3CDC">
      <w:pPr>
        <w:pStyle w:val="SoKPolicyThirdLevelContent"/>
        <w:numPr>
          <w:ilvl w:val="0"/>
          <w:numId w:val="11"/>
        </w:numPr>
        <w:spacing w:after="120"/>
        <w:rPr>
          <w:rFonts w:ascii="Arial" w:hAnsi="Arial" w:cs="Arial"/>
          <w:sz w:val="20"/>
        </w:rPr>
      </w:pPr>
      <w:r w:rsidRPr="00EB3CDC">
        <w:rPr>
          <w:rFonts w:ascii="Arial" w:hAnsi="Arial" w:cs="Arial"/>
          <w:sz w:val="20"/>
        </w:rPr>
        <w:t>Standards or guidelines for the acceptable usage of assets should be documented to indicate what information system users are and are not allowed to do.</w:t>
      </w:r>
    </w:p>
    <w:p w14:paraId="0CD09563" w14:textId="77777777" w:rsidR="00EB3CDC" w:rsidRPr="00EB3CDC" w:rsidRDefault="00EB3CDC" w:rsidP="00EB3CDC">
      <w:pPr>
        <w:pStyle w:val="SoKPolicyThirdLevelContent"/>
        <w:numPr>
          <w:ilvl w:val="0"/>
          <w:numId w:val="11"/>
        </w:numPr>
        <w:spacing w:after="120"/>
        <w:rPr>
          <w:rFonts w:ascii="Arial" w:hAnsi="Arial" w:cs="Arial"/>
          <w:sz w:val="20"/>
        </w:rPr>
      </w:pPr>
      <w:r w:rsidRPr="00EB3CDC">
        <w:rPr>
          <w:rFonts w:ascii="Arial" w:hAnsi="Arial" w:cs="Arial"/>
          <w:sz w:val="20"/>
        </w:rPr>
        <w:t>The following items should be covered in acceptable usage guidelines:</w:t>
      </w:r>
    </w:p>
    <w:p w14:paraId="0CD09564" w14:textId="77777777" w:rsidR="00EB3CDC" w:rsidRPr="00EB3CDC" w:rsidRDefault="00EB3CDC" w:rsidP="00EB3CDC">
      <w:pPr>
        <w:pStyle w:val="SoKPolicyThirdLevelContent"/>
        <w:numPr>
          <w:ilvl w:val="1"/>
          <w:numId w:val="11"/>
        </w:numPr>
        <w:tabs>
          <w:tab w:val="left" w:pos="900"/>
        </w:tabs>
        <w:rPr>
          <w:rFonts w:ascii="Arial" w:hAnsi="Arial" w:cs="Arial"/>
          <w:sz w:val="20"/>
        </w:rPr>
      </w:pPr>
      <w:r w:rsidRPr="00EB3CDC">
        <w:rPr>
          <w:rFonts w:ascii="Arial" w:hAnsi="Arial" w:cs="Arial"/>
          <w:sz w:val="20"/>
        </w:rPr>
        <w:t>Computer and information system usage</w:t>
      </w:r>
    </w:p>
    <w:p w14:paraId="0CD09565" w14:textId="77777777" w:rsidR="00EB3CDC" w:rsidRPr="00EB3CDC" w:rsidRDefault="00EB3CDC" w:rsidP="00EB3CDC">
      <w:pPr>
        <w:pStyle w:val="SoKPolicyThirdLevelContent"/>
        <w:numPr>
          <w:ilvl w:val="1"/>
          <w:numId w:val="11"/>
        </w:numPr>
        <w:tabs>
          <w:tab w:val="left" w:pos="900"/>
        </w:tabs>
        <w:rPr>
          <w:rFonts w:ascii="Arial" w:hAnsi="Arial" w:cs="Arial"/>
          <w:sz w:val="20"/>
        </w:rPr>
      </w:pPr>
      <w:r w:rsidRPr="00EB3CDC">
        <w:rPr>
          <w:rFonts w:ascii="Arial" w:hAnsi="Arial" w:cs="Arial"/>
          <w:sz w:val="20"/>
        </w:rPr>
        <w:t>Software and data usage</w:t>
      </w:r>
    </w:p>
    <w:p w14:paraId="0CD09566" w14:textId="77777777" w:rsidR="00EB3CDC" w:rsidRPr="00EB3CDC" w:rsidRDefault="00EB3CDC" w:rsidP="00EB3CDC">
      <w:pPr>
        <w:pStyle w:val="SoKPolicyThirdLevelContent"/>
        <w:numPr>
          <w:ilvl w:val="1"/>
          <w:numId w:val="11"/>
        </w:numPr>
        <w:tabs>
          <w:tab w:val="left" w:pos="900"/>
        </w:tabs>
        <w:rPr>
          <w:rFonts w:ascii="Arial" w:hAnsi="Arial" w:cs="Arial"/>
          <w:sz w:val="20"/>
        </w:rPr>
      </w:pPr>
      <w:r w:rsidRPr="00EB3CDC">
        <w:rPr>
          <w:rFonts w:ascii="Arial" w:hAnsi="Arial" w:cs="Arial"/>
          <w:sz w:val="20"/>
        </w:rPr>
        <w:t>Internet and email usage</w:t>
      </w:r>
    </w:p>
    <w:p w14:paraId="0CD09567" w14:textId="77777777" w:rsidR="00EB3CDC" w:rsidRPr="00EB3CDC" w:rsidRDefault="00EB3CDC" w:rsidP="00EB3CDC">
      <w:pPr>
        <w:pStyle w:val="SoKPolicyThirdLevelContent"/>
        <w:numPr>
          <w:ilvl w:val="1"/>
          <w:numId w:val="11"/>
        </w:numPr>
        <w:tabs>
          <w:tab w:val="left" w:pos="900"/>
        </w:tabs>
        <w:rPr>
          <w:rFonts w:ascii="Arial" w:hAnsi="Arial" w:cs="Arial"/>
          <w:sz w:val="20"/>
        </w:rPr>
      </w:pPr>
      <w:r w:rsidRPr="00EB3CDC">
        <w:rPr>
          <w:rFonts w:ascii="Arial" w:hAnsi="Arial" w:cs="Arial"/>
          <w:sz w:val="20"/>
        </w:rPr>
        <w:t>Telephone usage</w:t>
      </w:r>
    </w:p>
    <w:p w14:paraId="0CD09568" w14:textId="77777777" w:rsidR="00EB3CDC" w:rsidRPr="00EB3CDC" w:rsidRDefault="00EB3CDC" w:rsidP="00EB3CDC">
      <w:pPr>
        <w:pStyle w:val="SoKPolicyThirdLevelContent"/>
        <w:numPr>
          <w:ilvl w:val="1"/>
          <w:numId w:val="11"/>
        </w:numPr>
        <w:tabs>
          <w:tab w:val="left" w:pos="900"/>
        </w:tabs>
        <w:spacing w:after="120"/>
        <w:rPr>
          <w:rFonts w:ascii="Arial" w:hAnsi="Arial" w:cs="Arial"/>
          <w:sz w:val="20"/>
        </w:rPr>
      </w:pPr>
      <w:r w:rsidRPr="00EB3CDC">
        <w:rPr>
          <w:rFonts w:ascii="Arial" w:hAnsi="Arial" w:cs="Arial"/>
          <w:sz w:val="20"/>
        </w:rPr>
        <w:t>Office equipment &amp; materials usage</w:t>
      </w:r>
    </w:p>
    <w:p w14:paraId="0CD09569" w14:textId="77777777" w:rsidR="00EB3CDC" w:rsidRPr="00EB3CDC" w:rsidRDefault="00EB3CDC" w:rsidP="00EB3CDC">
      <w:pPr>
        <w:pStyle w:val="SoKPolicyThirdLevelContent"/>
        <w:numPr>
          <w:ilvl w:val="0"/>
          <w:numId w:val="11"/>
        </w:numPr>
        <w:spacing w:after="120"/>
        <w:rPr>
          <w:rFonts w:ascii="Arial" w:hAnsi="Arial" w:cs="Arial"/>
          <w:sz w:val="20"/>
        </w:rPr>
      </w:pPr>
      <w:r w:rsidRPr="00EB3CDC">
        <w:rPr>
          <w:rFonts w:ascii="Arial" w:hAnsi="Arial" w:cs="Arial"/>
          <w:sz w:val="20"/>
          <w:szCs w:val="24"/>
          <w:lang w:eastAsia="en-US"/>
        </w:rPr>
        <w:t>As a requirement of information system access, and as a component of security awareness training, all information system users, whether employees or third parties, will be required to provide signed acceptance of the acceptable usage guidelines.</w:t>
      </w:r>
    </w:p>
    <w:p w14:paraId="0CD0956A" w14:textId="77777777" w:rsidR="00A04749" w:rsidRPr="00EB3CDC" w:rsidRDefault="00A04749" w:rsidP="00A04749">
      <w:pPr>
        <w:ind w:left="173"/>
        <w:rPr>
          <w:rFonts w:cs="Arial"/>
          <w:sz w:val="24"/>
        </w:rPr>
      </w:pPr>
    </w:p>
    <w:p w14:paraId="0CD0956B" w14:textId="77777777" w:rsidR="00A04749" w:rsidRPr="00EB3CDC" w:rsidRDefault="00A04749" w:rsidP="00A04749">
      <w:pPr>
        <w:ind w:left="173"/>
        <w:rPr>
          <w:rFonts w:cs="Arial"/>
          <w:sz w:val="24"/>
        </w:rPr>
      </w:pPr>
    </w:p>
    <w:p w14:paraId="0CD0956C" w14:textId="77777777" w:rsidR="00A04749" w:rsidRPr="00AB7F92" w:rsidRDefault="00A04749" w:rsidP="00A04749">
      <w:pPr>
        <w:spacing w:before="180"/>
        <w:rPr>
          <w:rFonts w:cs="Arial"/>
          <w:b/>
          <w:sz w:val="32"/>
          <w:szCs w:val="32"/>
        </w:rPr>
      </w:pPr>
      <w:r w:rsidRPr="00AB7F92">
        <w:rPr>
          <w:rFonts w:cs="Arial"/>
          <w:b/>
          <w:sz w:val="32"/>
          <w:szCs w:val="32"/>
        </w:rPr>
        <w:t>Relevant Procedures</w:t>
      </w:r>
    </w:p>
    <w:p w14:paraId="0CD0956D" w14:textId="77777777" w:rsidR="00A04749" w:rsidRPr="00EB3CDC" w:rsidRDefault="00A04749" w:rsidP="00A04749">
      <w:pPr>
        <w:spacing w:before="180"/>
        <w:rPr>
          <w:rFonts w:cs="Arial"/>
          <w:color w:val="808080" w:themeColor="background1" w:themeShade="80"/>
          <w:szCs w:val="20"/>
        </w:rPr>
      </w:pPr>
      <w:r w:rsidRPr="00EB3CDC">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0CD0956E" w14:textId="77777777" w:rsidR="00A04749" w:rsidRPr="00EB3CDC" w:rsidRDefault="00A04749" w:rsidP="00A04749">
      <w:pPr>
        <w:ind w:left="173"/>
        <w:rPr>
          <w:rFonts w:cs="Arial"/>
          <w:szCs w:val="20"/>
        </w:rPr>
      </w:pPr>
    </w:p>
    <w:p w14:paraId="0CD0956F" w14:textId="77777777" w:rsidR="00AA6841" w:rsidRPr="00EB3CDC" w:rsidRDefault="00AA6841" w:rsidP="00AA6841">
      <w:pPr>
        <w:pStyle w:val="ListNumber"/>
        <w:numPr>
          <w:ilvl w:val="0"/>
          <w:numId w:val="0"/>
        </w:numPr>
        <w:tabs>
          <w:tab w:val="clear" w:pos="360"/>
        </w:tabs>
        <w:ind w:left="720"/>
        <w:rPr>
          <w:rFonts w:ascii="Arial" w:hAnsi="Arial" w:cs="Arial"/>
          <w:color w:val="000000" w:themeColor="text1"/>
        </w:rPr>
      </w:pPr>
    </w:p>
    <w:p w14:paraId="0CD09570" w14:textId="77777777" w:rsidR="00B502A4" w:rsidRPr="00EB3CDC" w:rsidRDefault="00B502A4" w:rsidP="00B502A4">
      <w:pPr>
        <w:pStyle w:val="Heading1"/>
      </w:pPr>
      <w:r w:rsidRPr="00EB3CDC">
        <w:t>Non-Compliance</w:t>
      </w:r>
    </w:p>
    <w:p w14:paraId="0CD09571" w14:textId="77777777" w:rsidR="00AA6841" w:rsidRPr="00EB3CDC" w:rsidRDefault="00AA6841" w:rsidP="00AA6841">
      <w:pPr>
        <w:rPr>
          <w:rFonts w:cs="Arial"/>
          <w:color w:val="808080"/>
        </w:rPr>
      </w:pPr>
      <w:r w:rsidRPr="00EB3CDC">
        <w:rPr>
          <w:rFonts w:cs="Arial"/>
          <w:color w:val="808080"/>
        </w:rPr>
        <w:t>Clearly describe consequences (legal and/or disciplinary) for employee non-compliance with the policy. It may be pertinent to describe the escalation process for repeated non-compliance.</w:t>
      </w:r>
    </w:p>
    <w:p w14:paraId="0CD09572" w14:textId="77777777" w:rsidR="00B502A4" w:rsidRPr="00EB3CDC" w:rsidRDefault="00B502A4" w:rsidP="00E64679">
      <w:pPr>
        <w:rPr>
          <w:rFonts w:cs="Arial"/>
        </w:rPr>
      </w:pPr>
    </w:p>
    <w:p w14:paraId="0CD09573" w14:textId="2B93BBDE" w:rsidR="00AA6841" w:rsidRPr="00EB3CDC" w:rsidRDefault="00AA6841" w:rsidP="00AA6841">
      <w:pPr>
        <w:rPr>
          <w:rFonts w:cs="Arial"/>
          <w:color w:val="000000" w:themeColor="text1"/>
        </w:rPr>
      </w:pPr>
      <w:r w:rsidRPr="00EB3CDC">
        <w:rPr>
          <w:rFonts w:cs="Arial"/>
          <w:color w:val="000000" w:themeColor="text1"/>
        </w:rPr>
        <w:t xml:space="preserve">Violations of this policy will be treated like other allegations of wrongdoing at </w:t>
      </w:r>
      <w:r w:rsidRPr="00EB3CDC">
        <w:rPr>
          <w:rFonts w:cs="Arial"/>
          <w:color w:val="A6A6A6" w:themeColor="background1" w:themeShade="A6"/>
        </w:rPr>
        <w:t>[</w:t>
      </w:r>
      <w:r w:rsidR="00A0768A">
        <w:rPr>
          <w:rFonts w:cs="Arial"/>
          <w:color w:val="A6A6A6" w:themeColor="background1" w:themeShade="A6"/>
        </w:rPr>
        <w:t>Company Name</w:t>
      </w:r>
      <w:r w:rsidRPr="00EB3CDC">
        <w:rPr>
          <w:rFonts w:cs="Arial"/>
          <w:color w:val="A6A6A6" w:themeColor="background1" w:themeShade="A6"/>
        </w:rPr>
        <w:t>]</w:t>
      </w:r>
      <w:r w:rsidRPr="00EB3CDC">
        <w:rPr>
          <w:rFonts w:cs="Arial"/>
          <w:color w:val="000000" w:themeColor="text1"/>
        </w:rPr>
        <w:t>. Allegations of misconduct will be adjudicated according to established procedures. Sanctions for non-compliance may include, but are not limited to, one or more of the following:</w:t>
      </w:r>
    </w:p>
    <w:p w14:paraId="0CD09574" w14:textId="77777777" w:rsidR="00AA6841" w:rsidRPr="00EB3CDC" w:rsidRDefault="00AA6841" w:rsidP="00AA6841">
      <w:pPr>
        <w:rPr>
          <w:rFonts w:cs="Arial"/>
          <w:color w:val="000000" w:themeColor="text1"/>
        </w:rPr>
      </w:pPr>
    </w:p>
    <w:p w14:paraId="0CD09575" w14:textId="1B95E8CF" w:rsidR="00AA6841" w:rsidRPr="00EB3CDC" w:rsidRDefault="00AA6841" w:rsidP="00AA6841">
      <w:pPr>
        <w:pStyle w:val="ListNumber2"/>
        <w:rPr>
          <w:rFonts w:cs="Arial"/>
          <w:color w:val="000000" w:themeColor="text1"/>
        </w:rPr>
      </w:pPr>
      <w:r w:rsidRPr="00EB3CDC">
        <w:rPr>
          <w:rFonts w:cs="Arial"/>
          <w:color w:val="000000" w:themeColor="text1"/>
        </w:rPr>
        <w:t xml:space="preserve">Disciplinary action according to applicable </w:t>
      </w:r>
      <w:r w:rsidRPr="00EB3CDC">
        <w:rPr>
          <w:rFonts w:cs="Arial"/>
          <w:color w:val="A6A6A6" w:themeColor="background1" w:themeShade="A6"/>
        </w:rPr>
        <w:t>[</w:t>
      </w:r>
      <w:r w:rsidR="00A0768A">
        <w:rPr>
          <w:rFonts w:cs="Arial"/>
          <w:color w:val="A6A6A6" w:themeColor="background1" w:themeShade="A6"/>
        </w:rPr>
        <w:t>Company Name</w:t>
      </w:r>
      <w:r w:rsidRPr="00EB3CDC">
        <w:rPr>
          <w:rFonts w:cs="Arial"/>
          <w:color w:val="A6A6A6" w:themeColor="background1" w:themeShade="A6"/>
        </w:rPr>
        <w:t xml:space="preserve">] </w:t>
      </w:r>
      <w:r w:rsidRPr="00EB3CDC">
        <w:rPr>
          <w:rFonts w:cs="Arial"/>
          <w:color w:val="000000" w:themeColor="text1"/>
        </w:rPr>
        <w:t xml:space="preserve">policies; </w:t>
      </w:r>
    </w:p>
    <w:p w14:paraId="0CD09576" w14:textId="77777777" w:rsidR="00AA6841" w:rsidRPr="00EB3CDC" w:rsidRDefault="00AA6841" w:rsidP="00AA6841">
      <w:pPr>
        <w:pStyle w:val="ListNumber2"/>
        <w:rPr>
          <w:rFonts w:cs="Arial"/>
          <w:color w:val="000000" w:themeColor="text1"/>
        </w:rPr>
      </w:pPr>
      <w:r w:rsidRPr="00EB3CDC">
        <w:rPr>
          <w:rFonts w:cs="Arial"/>
          <w:color w:val="000000" w:themeColor="text1"/>
        </w:rPr>
        <w:t>Termination of employment; and/or</w:t>
      </w:r>
    </w:p>
    <w:p w14:paraId="0CD09577" w14:textId="77777777" w:rsidR="00AA6841" w:rsidRPr="00EB3CDC" w:rsidRDefault="00AA6841" w:rsidP="00AA6841">
      <w:pPr>
        <w:pStyle w:val="ListNumber2"/>
        <w:rPr>
          <w:rFonts w:cs="Arial"/>
          <w:color w:val="000000" w:themeColor="text1"/>
        </w:rPr>
      </w:pPr>
      <w:r w:rsidRPr="00EB3CDC">
        <w:rPr>
          <w:rFonts w:cs="Arial"/>
          <w:color w:val="000000" w:themeColor="text1"/>
        </w:rPr>
        <w:t>Legal action according to applicable laws and contractual agreements.</w:t>
      </w:r>
    </w:p>
    <w:p w14:paraId="274B1FC4" w14:textId="33C2A8F6" w:rsidR="007D4146" w:rsidRDefault="007D4146" w:rsidP="00B502A4">
      <w:pPr>
        <w:pStyle w:val="Heading1"/>
      </w:pPr>
    </w:p>
    <w:p w14:paraId="0CD09588" w14:textId="080E77A0" w:rsidR="00B502A4" w:rsidRPr="00EB3CDC" w:rsidRDefault="00B502A4" w:rsidP="00B502A4">
      <w:pPr>
        <w:pStyle w:val="Heading1"/>
      </w:pPr>
      <w:r w:rsidRPr="00EB3CDC">
        <w:t>Revision History</w:t>
      </w:r>
    </w:p>
    <w:p w14:paraId="0CD09589" w14:textId="77777777" w:rsidR="00AA6841" w:rsidRPr="00EB3CDC"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4204"/>
        <w:gridCol w:w="2576"/>
      </w:tblGrid>
      <w:tr w:rsidR="00B502A4" w:rsidRPr="00EB3CDC" w14:paraId="0CD0958E" w14:textId="77777777" w:rsidTr="00B502A4">
        <w:tc>
          <w:tcPr>
            <w:tcW w:w="1809" w:type="dxa"/>
            <w:shd w:val="clear" w:color="auto" w:fill="DDDECE"/>
          </w:tcPr>
          <w:p w14:paraId="0CD0958A" w14:textId="77777777" w:rsidR="00B502A4" w:rsidRPr="00EB3CDC" w:rsidRDefault="00B502A4" w:rsidP="00095326">
            <w:pPr>
              <w:jc w:val="center"/>
              <w:rPr>
                <w:rFonts w:cs="Arial"/>
                <w:b/>
              </w:rPr>
            </w:pPr>
            <w:r w:rsidRPr="00EB3CDC">
              <w:rPr>
                <w:rFonts w:cs="Arial"/>
                <w:b/>
              </w:rPr>
              <w:t>Version ID</w:t>
            </w:r>
          </w:p>
        </w:tc>
        <w:tc>
          <w:tcPr>
            <w:tcW w:w="1701" w:type="dxa"/>
            <w:shd w:val="clear" w:color="auto" w:fill="DDDECE"/>
          </w:tcPr>
          <w:p w14:paraId="0CD0958B" w14:textId="77777777" w:rsidR="00B502A4" w:rsidRPr="00EB3CDC" w:rsidRDefault="00B502A4" w:rsidP="00095326">
            <w:pPr>
              <w:jc w:val="center"/>
              <w:rPr>
                <w:rFonts w:cs="Arial"/>
                <w:b/>
              </w:rPr>
            </w:pPr>
            <w:r w:rsidRPr="00EB3CDC">
              <w:rPr>
                <w:rFonts w:cs="Arial"/>
                <w:b/>
              </w:rPr>
              <w:t>Date of Change</w:t>
            </w:r>
          </w:p>
        </w:tc>
        <w:tc>
          <w:tcPr>
            <w:tcW w:w="4204" w:type="dxa"/>
            <w:shd w:val="clear" w:color="auto" w:fill="DDDECE"/>
          </w:tcPr>
          <w:p w14:paraId="0CD0958C" w14:textId="77777777" w:rsidR="00B502A4" w:rsidRPr="00EB3CDC" w:rsidRDefault="00B502A4" w:rsidP="00095326">
            <w:pPr>
              <w:jc w:val="center"/>
              <w:rPr>
                <w:rFonts w:cs="Arial"/>
                <w:b/>
              </w:rPr>
            </w:pPr>
            <w:r w:rsidRPr="00EB3CDC">
              <w:rPr>
                <w:rFonts w:cs="Arial"/>
                <w:b/>
              </w:rPr>
              <w:t>Author</w:t>
            </w:r>
          </w:p>
        </w:tc>
        <w:tc>
          <w:tcPr>
            <w:tcW w:w="2576" w:type="dxa"/>
            <w:shd w:val="clear" w:color="auto" w:fill="DDDECE"/>
          </w:tcPr>
          <w:p w14:paraId="0CD0958D" w14:textId="77777777" w:rsidR="00B502A4" w:rsidRPr="00EB3CDC" w:rsidRDefault="00B502A4" w:rsidP="00095326">
            <w:pPr>
              <w:jc w:val="center"/>
              <w:rPr>
                <w:rFonts w:cs="Arial"/>
                <w:b/>
              </w:rPr>
            </w:pPr>
            <w:r w:rsidRPr="00EB3CDC">
              <w:rPr>
                <w:rFonts w:cs="Arial"/>
                <w:b/>
              </w:rPr>
              <w:t>Rationale</w:t>
            </w:r>
          </w:p>
        </w:tc>
      </w:tr>
      <w:tr w:rsidR="00B502A4" w:rsidRPr="00EB3CDC" w14:paraId="0CD09593" w14:textId="77777777" w:rsidTr="00B502A4">
        <w:tc>
          <w:tcPr>
            <w:tcW w:w="1809" w:type="dxa"/>
            <w:shd w:val="clear" w:color="auto" w:fill="auto"/>
          </w:tcPr>
          <w:p w14:paraId="0CD0958F" w14:textId="77777777" w:rsidR="00B502A4" w:rsidRPr="00EB3CDC" w:rsidRDefault="00B502A4" w:rsidP="00095326">
            <w:pPr>
              <w:rPr>
                <w:rFonts w:cs="Arial"/>
              </w:rPr>
            </w:pPr>
          </w:p>
        </w:tc>
        <w:tc>
          <w:tcPr>
            <w:tcW w:w="1701" w:type="dxa"/>
            <w:shd w:val="clear" w:color="auto" w:fill="auto"/>
          </w:tcPr>
          <w:p w14:paraId="0CD09590" w14:textId="77777777" w:rsidR="00B502A4" w:rsidRPr="00EB3CDC" w:rsidRDefault="00B502A4" w:rsidP="00095326">
            <w:pPr>
              <w:rPr>
                <w:rFonts w:cs="Arial"/>
              </w:rPr>
            </w:pPr>
          </w:p>
        </w:tc>
        <w:tc>
          <w:tcPr>
            <w:tcW w:w="4204" w:type="dxa"/>
            <w:shd w:val="clear" w:color="auto" w:fill="auto"/>
          </w:tcPr>
          <w:p w14:paraId="0CD09591" w14:textId="77777777" w:rsidR="00B502A4" w:rsidRPr="00EB3CDC" w:rsidRDefault="00B502A4" w:rsidP="00095326">
            <w:pPr>
              <w:rPr>
                <w:rFonts w:cs="Arial"/>
              </w:rPr>
            </w:pPr>
          </w:p>
        </w:tc>
        <w:tc>
          <w:tcPr>
            <w:tcW w:w="2576" w:type="dxa"/>
            <w:shd w:val="clear" w:color="auto" w:fill="auto"/>
          </w:tcPr>
          <w:p w14:paraId="0CD09592" w14:textId="77777777" w:rsidR="00B502A4" w:rsidRPr="00EB3CDC" w:rsidRDefault="00B502A4" w:rsidP="00095326">
            <w:pPr>
              <w:rPr>
                <w:rFonts w:cs="Arial"/>
              </w:rPr>
            </w:pPr>
          </w:p>
        </w:tc>
      </w:tr>
      <w:tr w:rsidR="00B502A4" w:rsidRPr="00EB3CDC" w14:paraId="0CD09598" w14:textId="77777777" w:rsidTr="00B502A4">
        <w:tc>
          <w:tcPr>
            <w:tcW w:w="1809" w:type="dxa"/>
            <w:shd w:val="clear" w:color="auto" w:fill="auto"/>
          </w:tcPr>
          <w:p w14:paraId="0CD09594" w14:textId="77777777" w:rsidR="00B502A4" w:rsidRPr="00EB3CDC" w:rsidRDefault="00B502A4" w:rsidP="00095326">
            <w:pPr>
              <w:rPr>
                <w:rFonts w:cs="Arial"/>
              </w:rPr>
            </w:pPr>
          </w:p>
        </w:tc>
        <w:tc>
          <w:tcPr>
            <w:tcW w:w="1701" w:type="dxa"/>
            <w:shd w:val="clear" w:color="auto" w:fill="auto"/>
          </w:tcPr>
          <w:p w14:paraId="0CD09595" w14:textId="77777777" w:rsidR="00B502A4" w:rsidRPr="00EB3CDC" w:rsidRDefault="00B502A4" w:rsidP="00095326">
            <w:pPr>
              <w:rPr>
                <w:rFonts w:cs="Arial"/>
              </w:rPr>
            </w:pPr>
          </w:p>
        </w:tc>
        <w:tc>
          <w:tcPr>
            <w:tcW w:w="4204" w:type="dxa"/>
            <w:shd w:val="clear" w:color="auto" w:fill="auto"/>
          </w:tcPr>
          <w:p w14:paraId="0CD09596" w14:textId="77777777" w:rsidR="00B502A4" w:rsidRPr="00EB3CDC" w:rsidRDefault="00B502A4" w:rsidP="00095326">
            <w:pPr>
              <w:rPr>
                <w:rFonts w:cs="Arial"/>
              </w:rPr>
            </w:pPr>
          </w:p>
        </w:tc>
        <w:tc>
          <w:tcPr>
            <w:tcW w:w="2576" w:type="dxa"/>
            <w:shd w:val="clear" w:color="auto" w:fill="auto"/>
          </w:tcPr>
          <w:p w14:paraId="0CD09597" w14:textId="77777777" w:rsidR="00B502A4" w:rsidRPr="00EB3CDC" w:rsidRDefault="00B502A4" w:rsidP="00095326">
            <w:pPr>
              <w:rPr>
                <w:rFonts w:cs="Arial"/>
              </w:rPr>
            </w:pPr>
          </w:p>
        </w:tc>
      </w:tr>
      <w:tr w:rsidR="00B502A4" w:rsidRPr="00EB3CDC" w14:paraId="0CD0959D" w14:textId="77777777" w:rsidTr="00B502A4">
        <w:tc>
          <w:tcPr>
            <w:tcW w:w="1809" w:type="dxa"/>
            <w:shd w:val="clear" w:color="auto" w:fill="auto"/>
          </w:tcPr>
          <w:p w14:paraId="0CD09599" w14:textId="77777777" w:rsidR="00B502A4" w:rsidRPr="00EB3CDC" w:rsidRDefault="00B502A4" w:rsidP="00095326">
            <w:pPr>
              <w:rPr>
                <w:rFonts w:cs="Arial"/>
              </w:rPr>
            </w:pPr>
          </w:p>
        </w:tc>
        <w:tc>
          <w:tcPr>
            <w:tcW w:w="1701" w:type="dxa"/>
            <w:shd w:val="clear" w:color="auto" w:fill="auto"/>
          </w:tcPr>
          <w:p w14:paraId="0CD0959A" w14:textId="77777777" w:rsidR="00B502A4" w:rsidRPr="00EB3CDC" w:rsidRDefault="00B502A4" w:rsidP="00095326">
            <w:pPr>
              <w:rPr>
                <w:rFonts w:cs="Arial"/>
              </w:rPr>
            </w:pPr>
          </w:p>
        </w:tc>
        <w:tc>
          <w:tcPr>
            <w:tcW w:w="4204" w:type="dxa"/>
            <w:shd w:val="clear" w:color="auto" w:fill="auto"/>
          </w:tcPr>
          <w:p w14:paraId="0CD0959B" w14:textId="77777777" w:rsidR="00B502A4" w:rsidRPr="00EB3CDC" w:rsidRDefault="00B502A4" w:rsidP="00095326">
            <w:pPr>
              <w:rPr>
                <w:rFonts w:cs="Arial"/>
              </w:rPr>
            </w:pPr>
          </w:p>
        </w:tc>
        <w:tc>
          <w:tcPr>
            <w:tcW w:w="2576" w:type="dxa"/>
            <w:shd w:val="clear" w:color="auto" w:fill="auto"/>
          </w:tcPr>
          <w:p w14:paraId="0CD0959C" w14:textId="77777777" w:rsidR="00B502A4" w:rsidRPr="00EB3CDC" w:rsidRDefault="00B502A4" w:rsidP="00095326">
            <w:pPr>
              <w:rPr>
                <w:rFonts w:cs="Arial"/>
              </w:rPr>
            </w:pPr>
          </w:p>
        </w:tc>
      </w:tr>
      <w:tr w:rsidR="00B502A4" w:rsidRPr="00EB3CDC" w14:paraId="0CD095A2" w14:textId="77777777" w:rsidTr="00B502A4">
        <w:tc>
          <w:tcPr>
            <w:tcW w:w="1809" w:type="dxa"/>
            <w:shd w:val="clear" w:color="auto" w:fill="auto"/>
          </w:tcPr>
          <w:p w14:paraId="0CD0959E" w14:textId="77777777" w:rsidR="00B502A4" w:rsidRPr="00EB3CDC" w:rsidRDefault="00B502A4" w:rsidP="00095326">
            <w:pPr>
              <w:rPr>
                <w:rFonts w:cs="Arial"/>
              </w:rPr>
            </w:pPr>
          </w:p>
        </w:tc>
        <w:tc>
          <w:tcPr>
            <w:tcW w:w="1701" w:type="dxa"/>
            <w:shd w:val="clear" w:color="auto" w:fill="auto"/>
          </w:tcPr>
          <w:p w14:paraId="0CD0959F" w14:textId="77777777" w:rsidR="00B502A4" w:rsidRPr="00EB3CDC" w:rsidRDefault="00B502A4" w:rsidP="00095326">
            <w:pPr>
              <w:rPr>
                <w:rFonts w:cs="Arial"/>
              </w:rPr>
            </w:pPr>
          </w:p>
        </w:tc>
        <w:tc>
          <w:tcPr>
            <w:tcW w:w="4204" w:type="dxa"/>
            <w:shd w:val="clear" w:color="auto" w:fill="auto"/>
          </w:tcPr>
          <w:p w14:paraId="0CD095A0" w14:textId="77777777" w:rsidR="00B502A4" w:rsidRPr="00EB3CDC" w:rsidRDefault="00B502A4" w:rsidP="00095326">
            <w:pPr>
              <w:rPr>
                <w:rFonts w:cs="Arial"/>
              </w:rPr>
            </w:pPr>
          </w:p>
        </w:tc>
        <w:tc>
          <w:tcPr>
            <w:tcW w:w="2576" w:type="dxa"/>
            <w:shd w:val="clear" w:color="auto" w:fill="auto"/>
          </w:tcPr>
          <w:p w14:paraId="0CD095A1" w14:textId="77777777" w:rsidR="00B502A4" w:rsidRPr="00EB3CDC" w:rsidRDefault="00B502A4" w:rsidP="00095326">
            <w:pPr>
              <w:rPr>
                <w:rFonts w:cs="Arial"/>
              </w:rPr>
            </w:pPr>
          </w:p>
        </w:tc>
      </w:tr>
      <w:tr w:rsidR="00B502A4" w:rsidRPr="00EB3CDC" w14:paraId="0CD095A7" w14:textId="77777777" w:rsidTr="00B502A4">
        <w:tc>
          <w:tcPr>
            <w:tcW w:w="1809" w:type="dxa"/>
            <w:shd w:val="clear" w:color="auto" w:fill="auto"/>
          </w:tcPr>
          <w:p w14:paraId="0CD095A3" w14:textId="77777777" w:rsidR="00B502A4" w:rsidRPr="00EB3CDC" w:rsidRDefault="00B502A4" w:rsidP="00095326">
            <w:pPr>
              <w:rPr>
                <w:rFonts w:cs="Arial"/>
              </w:rPr>
            </w:pPr>
          </w:p>
        </w:tc>
        <w:tc>
          <w:tcPr>
            <w:tcW w:w="1701" w:type="dxa"/>
            <w:shd w:val="clear" w:color="auto" w:fill="auto"/>
          </w:tcPr>
          <w:p w14:paraId="0CD095A4" w14:textId="77777777" w:rsidR="00B502A4" w:rsidRPr="00EB3CDC" w:rsidRDefault="00B502A4" w:rsidP="00095326">
            <w:pPr>
              <w:rPr>
                <w:rFonts w:cs="Arial"/>
              </w:rPr>
            </w:pPr>
          </w:p>
        </w:tc>
        <w:tc>
          <w:tcPr>
            <w:tcW w:w="4204" w:type="dxa"/>
            <w:shd w:val="clear" w:color="auto" w:fill="auto"/>
          </w:tcPr>
          <w:p w14:paraId="0CD095A5" w14:textId="77777777" w:rsidR="00B502A4" w:rsidRPr="00EB3CDC" w:rsidRDefault="00B502A4" w:rsidP="00095326">
            <w:pPr>
              <w:rPr>
                <w:rFonts w:cs="Arial"/>
              </w:rPr>
            </w:pPr>
          </w:p>
        </w:tc>
        <w:tc>
          <w:tcPr>
            <w:tcW w:w="2576" w:type="dxa"/>
            <w:shd w:val="clear" w:color="auto" w:fill="auto"/>
          </w:tcPr>
          <w:p w14:paraId="0CD095A6" w14:textId="77777777" w:rsidR="00B502A4" w:rsidRPr="00EB3CDC" w:rsidRDefault="00B502A4" w:rsidP="00095326">
            <w:pPr>
              <w:rPr>
                <w:rFonts w:cs="Arial"/>
              </w:rPr>
            </w:pPr>
          </w:p>
        </w:tc>
      </w:tr>
    </w:tbl>
    <w:p w14:paraId="0CD095A8" w14:textId="77777777" w:rsidR="00B502A4" w:rsidRPr="00EB3CDC" w:rsidRDefault="00B502A4" w:rsidP="00B502A4">
      <w:pPr>
        <w:rPr>
          <w:rFonts w:cs="Arial"/>
        </w:rPr>
      </w:pPr>
    </w:p>
    <w:p w14:paraId="0CD095AB" w14:textId="77777777" w:rsidR="00C8415D" w:rsidRPr="00EB3CDC" w:rsidRDefault="00C8415D" w:rsidP="00C8415D">
      <w:pPr>
        <w:jc w:val="center"/>
        <w:rPr>
          <w:rFonts w:cs="Arial"/>
        </w:rPr>
      </w:pPr>
      <w:bookmarkStart w:id="0" w:name="_GoBack"/>
      <w:bookmarkEnd w:id="0"/>
    </w:p>
    <w:p w14:paraId="0CD095AD" w14:textId="77777777" w:rsidR="00212E88" w:rsidRPr="00EB3CDC" w:rsidRDefault="00212E88" w:rsidP="008F3CD7">
      <w:pPr>
        <w:jc w:val="center"/>
        <w:rPr>
          <w:rFonts w:cs="Arial"/>
          <w:szCs w:val="20"/>
        </w:rPr>
      </w:pPr>
    </w:p>
    <w:sectPr w:rsidR="00212E88" w:rsidRPr="00EB3CDC" w:rsidSect="007D4146">
      <w:headerReference w:type="default" r:id="rId10"/>
      <w:pgSz w:w="12240" w:h="15840"/>
      <w:pgMar w:top="720"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0F696" w14:textId="77777777" w:rsidR="00CB5F20" w:rsidRDefault="00CB5F20">
      <w:r>
        <w:separator/>
      </w:r>
    </w:p>
  </w:endnote>
  <w:endnote w:type="continuationSeparator" w:id="0">
    <w:p w14:paraId="1DC792BC" w14:textId="77777777" w:rsidR="00CB5F20" w:rsidRDefault="00C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72EC" w14:textId="77777777" w:rsidR="00CB5F20" w:rsidRDefault="00CB5F20">
      <w:r>
        <w:separator/>
      </w:r>
    </w:p>
  </w:footnote>
  <w:footnote w:type="continuationSeparator" w:id="0">
    <w:p w14:paraId="34344365" w14:textId="77777777" w:rsidR="00CB5F20" w:rsidRDefault="00CB5F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95B2" w14:textId="1CF2AA1B"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00F90144"/>
    <w:multiLevelType w:val="hybridMultilevel"/>
    <w:tmpl w:val="AA308C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87058"/>
    <w:multiLevelType w:val="hybridMultilevel"/>
    <w:tmpl w:val="CF265CC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3">
      <w:start w:val="1"/>
      <w:numFmt w:val="bullet"/>
      <w:lvlText w:val="o"/>
      <w:lvlJc w:val="left"/>
      <w:pPr>
        <w:ind w:left="1800" w:hanging="360"/>
      </w:pPr>
      <w:rPr>
        <w:rFonts w:ascii="Courier New" w:hAnsi="Courier New" w:cs="Courier New"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9">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9"/>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B48DB"/>
    <w:rsid w:val="000F62E3"/>
    <w:rsid w:val="00101A2D"/>
    <w:rsid w:val="001123D5"/>
    <w:rsid w:val="00134035"/>
    <w:rsid w:val="00136E46"/>
    <w:rsid w:val="00145681"/>
    <w:rsid w:val="00186D07"/>
    <w:rsid w:val="001D5C1E"/>
    <w:rsid w:val="00212E88"/>
    <w:rsid w:val="00222174"/>
    <w:rsid w:val="002A3876"/>
    <w:rsid w:val="002B5E4F"/>
    <w:rsid w:val="002D034A"/>
    <w:rsid w:val="002D47F6"/>
    <w:rsid w:val="003018D3"/>
    <w:rsid w:val="00303D6C"/>
    <w:rsid w:val="003331A9"/>
    <w:rsid w:val="003404E3"/>
    <w:rsid w:val="00352A14"/>
    <w:rsid w:val="00354A73"/>
    <w:rsid w:val="0035527A"/>
    <w:rsid w:val="003D187A"/>
    <w:rsid w:val="003F6210"/>
    <w:rsid w:val="00402D44"/>
    <w:rsid w:val="004307CB"/>
    <w:rsid w:val="00432006"/>
    <w:rsid w:val="004371F3"/>
    <w:rsid w:val="0044200A"/>
    <w:rsid w:val="00480E89"/>
    <w:rsid w:val="004D269E"/>
    <w:rsid w:val="004D32EB"/>
    <w:rsid w:val="005266E7"/>
    <w:rsid w:val="0054288B"/>
    <w:rsid w:val="00560FE2"/>
    <w:rsid w:val="00566D00"/>
    <w:rsid w:val="00572EAF"/>
    <w:rsid w:val="005A3623"/>
    <w:rsid w:val="005B073C"/>
    <w:rsid w:val="00613C6B"/>
    <w:rsid w:val="00625F64"/>
    <w:rsid w:val="00636CD4"/>
    <w:rsid w:val="00657998"/>
    <w:rsid w:val="0066050C"/>
    <w:rsid w:val="00687F8E"/>
    <w:rsid w:val="006B66A1"/>
    <w:rsid w:val="006C19C9"/>
    <w:rsid w:val="006D629B"/>
    <w:rsid w:val="00701BB0"/>
    <w:rsid w:val="0072444D"/>
    <w:rsid w:val="007521AB"/>
    <w:rsid w:val="007547E6"/>
    <w:rsid w:val="007624CE"/>
    <w:rsid w:val="00797D60"/>
    <w:rsid w:val="007A6042"/>
    <w:rsid w:val="007A6EC1"/>
    <w:rsid w:val="007B4ACB"/>
    <w:rsid w:val="007D03A1"/>
    <w:rsid w:val="007D06EE"/>
    <w:rsid w:val="007D4146"/>
    <w:rsid w:val="007E5261"/>
    <w:rsid w:val="007F767E"/>
    <w:rsid w:val="00804A11"/>
    <w:rsid w:val="0081572D"/>
    <w:rsid w:val="00843924"/>
    <w:rsid w:val="00861438"/>
    <w:rsid w:val="00866FC1"/>
    <w:rsid w:val="008B4684"/>
    <w:rsid w:val="008C5E54"/>
    <w:rsid w:val="008D0C7B"/>
    <w:rsid w:val="008F3CD7"/>
    <w:rsid w:val="009113E0"/>
    <w:rsid w:val="00915C20"/>
    <w:rsid w:val="009420A3"/>
    <w:rsid w:val="0098731E"/>
    <w:rsid w:val="009E43CD"/>
    <w:rsid w:val="00A04749"/>
    <w:rsid w:val="00A0768A"/>
    <w:rsid w:val="00AA6841"/>
    <w:rsid w:val="00AB7F92"/>
    <w:rsid w:val="00AE32EB"/>
    <w:rsid w:val="00B15BF5"/>
    <w:rsid w:val="00B3239C"/>
    <w:rsid w:val="00B502A4"/>
    <w:rsid w:val="00B77AB1"/>
    <w:rsid w:val="00B93EF7"/>
    <w:rsid w:val="00BA5493"/>
    <w:rsid w:val="00BC1B91"/>
    <w:rsid w:val="00BD0E2C"/>
    <w:rsid w:val="00BE25AA"/>
    <w:rsid w:val="00C24557"/>
    <w:rsid w:val="00C81438"/>
    <w:rsid w:val="00C8415D"/>
    <w:rsid w:val="00CA08B6"/>
    <w:rsid w:val="00CB51A4"/>
    <w:rsid w:val="00CB5F20"/>
    <w:rsid w:val="00D020A7"/>
    <w:rsid w:val="00D206DA"/>
    <w:rsid w:val="00D2496C"/>
    <w:rsid w:val="00D27D32"/>
    <w:rsid w:val="00D4425A"/>
    <w:rsid w:val="00D76313"/>
    <w:rsid w:val="00DC143E"/>
    <w:rsid w:val="00DC7917"/>
    <w:rsid w:val="00DD068A"/>
    <w:rsid w:val="00DE2AF1"/>
    <w:rsid w:val="00E64679"/>
    <w:rsid w:val="00E72B5D"/>
    <w:rsid w:val="00E83C56"/>
    <w:rsid w:val="00EA7795"/>
    <w:rsid w:val="00EB3CDC"/>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D0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1B992913-6D39-5546-9680-18F98495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2016-01-26T16:44:00Z</dcterms:created>
  <dcterms:modified xsi:type="dcterms:W3CDTF">2016-01-27T18:07:00Z</dcterms:modified>
</cp:coreProperties>
</file>