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0AE8" w14:textId="77777777" w:rsidR="00861438" w:rsidRPr="00861438" w:rsidRDefault="001135E9" w:rsidP="00C8415D">
      <w:pPr>
        <w:pStyle w:val="Heading1"/>
        <w:rPr>
          <w:sz w:val="36"/>
          <w:szCs w:val="36"/>
        </w:rPr>
      </w:pPr>
      <w:r>
        <w:rPr>
          <w:sz w:val="36"/>
          <w:szCs w:val="36"/>
        </w:rPr>
        <w:t>Audit Log Review</w:t>
      </w:r>
      <w:r w:rsidR="006B5956">
        <w:rPr>
          <w:sz w:val="36"/>
          <w:szCs w:val="36"/>
        </w:rPr>
        <w:t xml:space="preserve"> Policy</w:t>
      </w:r>
    </w:p>
    <w:p w14:paraId="24AA0AE9" w14:textId="77777777" w:rsidR="00E64679" w:rsidRDefault="00E64679" w:rsidP="004307CB">
      <w:pPr>
        <w:spacing w:before="60" w:after="60"/>
        <w:rPr>
          <w:color w:val="808080" w:themeColor="background1" w:themeShade="80"/>
        </w:rPr>
      </w:pPr>
    </w:p>
    <w:p w14:paraId="24AA0AEA"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24AA0AEB"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24AA0AEE" w14:textId="77777777" w:rsidTr="00E64679">
        <w:trPr>
          <w:trHeight w:val="283"/>
        </w:trPr>
        <w:tc>
          <w:tcPr>
            <w:tcW w:w="2446" w:type="dxa"/>
            <w:shd w:val="clear" w:color="auto" w:fill="DDDECE"/>
            <w:vAlign w:val="center"/>
          </w:tcPr>
          <w:p w14:paraId="24AA0AEC"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24AA0AED"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24AA0AF1" w14:textId="77777777" w:rsidTr="00E64679">
        <w:trPr>
          <w:trHeight w:val="283"/>
        </w:trPr>
        <w:tc>
          <w:tcPr>
            <w:tcW w:w="2446" w:type="dxa"/>
            <w:shd w:val="clear" w:color="auto" w:fill="DDDECE"/>
            <w:vAlign w:val="center"/>
          </w:tcPr>
          <w:p w14:paraId="24AA0AEF"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24AA0AF0"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24AA0AF4" w14:textId="77777777" w:rsidTr="00E64679">
        <w:trPr>
          <w:trHeight w:val="283"/>
        </w:trPr>
        <w:tc>
          <w:tcPr>
            <w:tcW w:w="2446" w:type="dxa"/>
            <w:shd w:val="clear" w:color="auto" w:fill="DDDECE"/>
            <w:vAlign w:val="center"/>
          </w:tcPr>
          <w:p w14:paraId="24AA0AF2"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24AA0AF3"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24AA0AF7" w14:textId="77777777" w:rsidTr="00E64679">
        <w:trPr>
          <w:trHeight w:val="283"/>
        </w:trPr>
        <w:tc>
          <w:tcPr>
            <w:tcW w:w="2446" w:type="dxa"/>
            <w:shd w:val="clear" w:color="auto" w:fill="DDDECE"/>
            <w:vAlign w:val="center"/>
          </w:tcPr>
          <w:p w14:paraId="24AA0AF5"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24AA0AF6"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24AA0AFA" w14:textId="77777777" w:rsidTr="00E64679">
        <w:trPr>
          <w:trHeight w:val="283"/>
        </w:trPr>
        <w:tc>
          <w:tcPr>
            <w:tcW w:w="2446" w:type="dxa"/>
            <w:shd w:val="clear" w:color="auto" w:fill="DDDECE"/>
            <w:vAlign w:val="center"/>
          </w:tcPr>
          <w:p w14:paraId="24AA0AF8"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24AA0AF9"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24AA0AFD" w14:textId="77777777" w:rsidTr="00E64679">
        <w:trPr>
          <w:trHeight w:val="283"/>
        </w:trPr>
        <w:tc>
          <w:tcPr>
            <w:tcW w:w="2446" w:type="dxa"/>
            <w:shd w:val="clear" w:color="auto" w:fill="DDDECE"/>
            <w:vAlign w:val="center"/>
          </w:tcPr>
          <w:p w14:paraId="24AA0AFB"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24AA0AFC"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24AA0B00" w14:textId="77777777" w:rsidTr="00E64679">
        <w:trPr>
          <w:trHeight w:val="283"/>
        </w:trPr>
        <w:tc>
          <w:tcPr>
            <w:tcW w:w="2446" w:type="dxa"/>
            <w:shd w:val="clear" w:color="auto" w:fill="DDDECE"/>
            <w:vAlign w:val="center"/>
          </w:tcPr>
          <w:p w14:paraId="24AA0AFE"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24AA0AFF" w14:textId="77777777" w:rsidR="00E64679" w:rsidRPr="003A5E67" w:rsidRDefault="00E64679" w:rsidP="00E64679">
            <w:pPr>
              <w:rPr>
                <w:color w:val="808080"/>
              </w:rPr>
            </w:pPr>
            <w:r w:rsidRPr="003A5E67">
              <w:rPr>
                <w:color w:val="808080"/>
              </w:rPr>
              <w:t>List the date that this policy must undergo review and update.</w:t>
            </w:r>
          </w:p>
        </w:tc>
      </w:tr>
    </w:tbl>
    <w:p w14:paraId="24AA0B01" w14:textId="77777777" w:rsidR="00E64679" w:rsidRPr="004307CB" w:rsidRDefault="00E64679" w:rsidP="004307CB">
      <w:pPr>
        <w:spacing w:before="60" w:after="60"/>
        <w:rPr>
          <w:color w:val="808080" w:themeColor="background1" w:themeShade="80"/>
        </w:rPr>
      </w:pPr>
    </w:p>
    <w:p w14:paraId="24AA0B02" w14:textId="77777777" w:rsidR="008B4684" w:rsidRDefault="00E64679" w:rsidP="008B4684">
      <w:pPr>
        <w:pStyle w:val="Heading1"/>
      </w:pPr>
      <w:r>
        <w:t>Purpose</w:t>
      </w:r>
    </w:p>
    <w:p w14:paraId="24AA0B03"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24AA0B04" w14:textId="77777777" w:rsidR="00E64679" w:rsidRDefault="00E64679" w:rsidP="00E64679">
      <w:pPr>
        <w:rPr>
          <w:color w:val="808080"/>
        </w:rPr>
      </w:pPr>
    </w:p>
    <w:p w14:paraId="24AA0B05" w14:textId="5330A12B" w:rsidR="00056DC5" w:rsidRPr="00A12710" w:rsidRDefault="00056DC5" w:rsidP="00056DC5">
      <w:pPr>
        <w:rPr>
          <w:szCs w:val="20"/>
          <w:lang w:eastAsia="en-CA"/>
        </w:rPr>
      </w:pPr>
      <w:r w:rsidRPr="00FF2A4A">
        <w:t xml:space="preserve">The aim of this policy is to ensure that processes are in place across all designated </w:t>
      </w:r>
      <w:r w:rsidRPr="00FF2A4A">
        <w:rPr>
          <w:color w:val="808080"/>
        </w:rPr>
        <w:t>[</w:t>
      </w:r>
      <w:r w:rsidR="0000236E">
        <w:rPr>
          <w:color w:val="808080"/>
        </w:rPr>
        <w:t>Company Name</w:t>
      </w:r>
      <w:r w:rsidRPr="00FF2A4A">
        <w:rPr>
          <w:color w:val="808080"/>
        </w:rPr>
        <w:t>]</w:t>
      </w:r>
      <w:r w:rsidRPr="00FF2A4A">
        <w:t xml:space="preserve"> systems to ensure that </w:t>
      </w:r>
      <w:r>
        <w:t>designated audit logs are reviewed daily and following a security incident</w:t>
      </w:r>
      <w:r w:rsidRPr="00FF2A4A">
        <w:t xml:space="preserve">. </w:t>
      </w:r>
      <w:r>
        <w:t>Designated audit logs are outlined below. Any exceptions identified are followed up and reported to management. The overall goals of audit log review are to detect unusual or unauthorized events, investigate causal factors for identified events, reconstruct the course of events before and after an event, and identify the account associated with a specific event.</w:t>
      </w:r>
    </w:p>
    <w:p w14:paraId="24AA0B06" w14:textId="77777777" w:rsidR="00E64679" w:rsidRDefault="00E64679" w:rsidP="00E64679">
      <w:pPr>
        <w:pStyle w:val="Heading1"/>
      </w:pPr>
      <w:r>
        <w:t>Scope</w:t>
      </w:r>
    </w:p>
    <w:p w14:paraId="24AA0B07" w14:textId="407DB985"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w:t>
      </w:r>
      <w:r w:rsidR="00AA57A3">
        <w:rPr>
          <w:color w:val="808080"/>
        </w:rPr>
        <w:t>,</w:t>
      </w:r>
      <w:r>
        <w:rPr>
          <w:color w:val="808080"/>
        </w:rPr>
        <w:t xml:space="preserve"> i.e. those people, elements</w:t>
      </w:r>
      <w:r w:rsidR="00AA57A3">
        <w:rPr>
          <w:color w:val="808080"/>
        </w:rPr>
        <w:t>,</w:t>
      </w:r>
      <w:r>
        <w:rPr>
          <w:color w:val="808080"/>
        </w:rPr>
        <w:t xml:space="preserve"> or situations that are not covered by this policy or where special consideration may be made.</w:t>
      </w:r>
    </w:p>
    <w:p w14:paraId="24AA0B08" w14:textId="77777777" w:rsidR="00E64679" w:rsidRDefault="00E64679" w:rsidP="00E64679">
      <w:pPr>
        <w:rPr>
          <w:color w:val="808080"/>
        </w:rPr>
      </w:pPr>
    </w:p>
    <w:p w14:paraId="24AA0B09" w14:textId="77777777" w:rsidR="00056DC5" w:rsidRPr="00056DC5" w:rsidRDefault="00056DC5" w:rsidP="00056DC5">
      <w:pPr>
        <w:rPr>
          <w:rFonts w:cs="Arial"/>
        </w:rPr>
      </w:pPr>
      <w:r w:rsidRPr="00FF2A4A">
        <w:t xml:space="preserve">This policy applies to all </w:t>
      </w:r>
      <w:r>
        <w:t xml:space="preserve">of the following logs within the </w:t>
      </w:r>
      <w:r w:rsidRPr="00056DC5">
        <w:rPr>
          <w:color w:val="808080"/>
        </w:rPr>
        <w:t>[Name of the specified environment or system]:</w:t>
      </w:r>
    </w:p>
    <w:p w14:paraId="24AA0B0A" w14:textId="77777777" w:rsidR="00056DC5" w:rsidRDefault="00056DC5" w:rsidP="00056DC5">
      <w:pPr>
        <w:pStyle w:val="ListParagraph"/>
        <w:rPr>
          <w:rFonts w:cs="Arial"/>
        </w:rPr>
      </w:pPr>
    </w:p>
    <w:p w14:paraId="24AA0B0B" w14:textId="77777777" w:rsidR="00056DC5" w:rsidRDefault="00056DC5" w:rsidP="00056DC5">
      <w:pPr>
        <w:pStyle w:val="ListParagraph"/>
        <w:numPr>
          <w:ilvl w:val="1"/>
          <w:numId w:val="9"/>
        </w:numPr>
        <w:ind w:left="720"/>
        <w:rPr>
          <w:rFonts w:cs="Arial"/>
        </w:rPr>
      </w:pPr>
      <w:r>
        <w:rPr>
          <w:rFonts w:cs="Arial"/>
        </w:rPr>
        <w:t>Operating System Logs</w:t>
      </w:r>
    </w:p>
    <w:p w14:paraId="24AA0B0C" w14:textId="77777777" w:rsidR="00056DC5" w:rsidRDefault="00056DC5" w:rsidP="00056DC5">
      <w:pPr>
        <w:pStyle w:val="ListParagraph"/>
        <w:numPr>
          <w:ilvl w:val="1"/>
          <w:numId w:val="9"/>
        </w:numPr>
        <w:ind w:left="720"/>
        <w:rPr>
          <w:rFonts w:cs="Arial"/>
        </w:rPr>
      </w:pPr>
      <w:r>
        <w:rPr>
          <w:rFonts w:cs="Arial"/>
        </w:rPr>
        <w:t>Database Audit Logs</w:t>
      </w:r>
    </w:p>
    <w:p w14:paraId="24AA0B0D" w14:textId="77777777" w:rsidR="00056DC5" w:rsidRDefault="00056DC5" w:rsidP="00056DC5">
      <w:pPr>
        <w:pStyle w:val="ListParagraph"/>
        <w:numPr>
          <w:ilvl w:val="1"/>
          <w:numId w:val="9"/>
        </w:numPr>
        <w:ind w:left="720"/>
        <w:rPr>
          <w:rFonts w:cs="Arial"/>
        </w:rPr>
      </w:pPr>
      <w:r>
        <w:rPr>
          <w:rFonts w:cs="Arial"/>
        </w:rPr>
        <w:t>Unusual or unauthorized Detection System Logs</w:t>
      </w:r>
    </w:p>
    <w:p w14:paraId="24AA0B0E" w14:textId="77777777" w:rsidR="00B502A4" w:rsidRDefault="00B502A4" w:rsidP="00E64679">
      <w:pPr>
        <w:rPr>
          <w:color w:val="000000" w:themeColor="text1"/>
        </w:rPr>
      </w:pPr>
    </w:p>
    <w:p w14:paraId="24AA0B0F" w14:textId="77777777" w:rsidR="00B502A4" w:rsidRDefault="00B502A4" w:rsidP="00B502A4">
      <w:pPr>
        <w:pStyle w:val="Heading1"/>
      </w:pPr>
      <w:r>
        <w:t>Definitions</w:t>
      </w:r>
    </w:p>
    <w:p w14:paraId="24AA0B10" w14:textId="3242EA80" w:rsidR="00B502A4" w:rsidRDefault="00B502A4" w:rsidP="00B502A4">
      <w:pPr>
        <w:rPr>
          <w:color w:val="808080"/>
        </w:rPr>
      </w:pPr>
      <w:r w:rsidRPr="00CB71A6">
        <w:rPr>
          <w:color w:val="808080"/>
        </w:rPr>
        <w:t>Define any key terms</w:t>
      </w:r>
      <w:r>
        <w:rPr>
          <w:color w:val="808080"/>
        </w:rPr>
        <w:t>, acronyms</w:t>
      </w:r>
      <w:r w:rsidR="00AA57A3">
        <w:rPr>
          <w:color w:val="808080"/>
        </w:rPr>
        <w:t>,</w:t>
      </w:r>
      <w:r w:rsidRPr="00CB71A6">
        <w:rPr>
          <w:color w:val="808080"/>
        </w:rPr>
        <w:t xml:space="preserve"> or concepts that will be used in the policy.</w:t>
      </w:r>
      <w:r>
        <w:rPr>
          <w:color w:val="808080"/>
        </w:rPr>
        <w:t xml:space="preserve"> A standard glossary approach is sufficient.</w:t>
      </w:r>
    </w:p>
    <w:p w14:paraId="24AA0B11" w14:textId="77777777" w:rsidR="00B502A4" w:rsidRDefault="00B502A4" w:rsidP="00B502A4">
      <w:pPr>
        <w:rPr>
          <w:color w:val="808080"/>
        </w:rPr>
      </w:pPr>
    </w:p>
    <w:p w14:paraId="24AA0B12" w14:textId="77777777" w:rsidR="00B502A4" w:rsidRDefault="00B502A4" w:rsidP="00B502A4">
      <w:pPr>
        <w:pStyle w:val="Heading1"/>
      </w:pPr>
      <w:r>
        <w:t>Governing Laws &amp; Regulations</w:t>
      </w:r>
    </w:p>
    <w:p w14:paraId="24AA0B13"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24AA0B14" w14:textId="77777777" w:rsidR="00B502A4" w:rsidRDefault="00B502A4" w:rsidP="00B502A4">
      <w:pPr>
        <w:pStyle w:val="Heading1"/>
      </w:pPr>
      <w:r>
        <w:lastRenderedPageBreak/>
        <w:t>Policy Statements</w:t>
      </w:r>
    </w:p>
    <w:p w14:paraId="24AA0B15"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24AA0B16" w14:textId="77777777" w:rsidR="00AA6841" w:rsidRDefault="00AA6841" w:rsidP="000D1296">
      <w:pPr>
        <w:pStyle w:val="ListNumber"/>
        <w:numPr>
          <w:ilvl w:val="0"/>
          <w:numId w:val="0"/>
        </w:numPr>
        <w:tabs>
          <w:tab w:val="clear" w:pos="360"/>
        </w:tabs>
        <w:ind w:left="360" w:hanging="360"/>
        <w:rPr>
          <w:rFonts w:ascii="Arial" w:hAnsi="Arial" w:cs="Arial"/>
          <w:color w:val="000000" w:themeColor="text1"/>
        </w:rPr>
      </w:pPr>
    </w:p>
    <w:p w14:paraId="24AA0B17" w14:textId="2456F3AA" w:rsidR="000D1296" w:rsidRDefault="000D1296" w:rsidP="000D1296">
      <w:pPr>
        <w:pStyle w:val="ListParagraph"/>
        <w:numPr>
          <w:ilvl w:val="0"/>
          <w:numId w:val="10"/>
        </w:numPr>
      </w:pPr>
      <w:r>
        <w:t xml:space="preserve">Review of logs is to be carried out by means of </w:t>
      </w:r>
      <w:r w:rsidRPr="00FE0268">
        <w:rPr>
          <w:color w:val="808080"/>
        </w:rPr>
        <w:t>[</w:t>
      </w:r>
      <w:r w:rsidR="0000236E">
        <w:rPr>
          <w:color w:val="808080"/>
        </w:rPr>
        <w:t>Company Name</w:t>
      </w:r>
      <w:r w:rsidRPr="00FE0268">
        <w:rPr>
          <w:color w:val="808080"/>
        </w:rPr>
        <w:t xml:space="preserve">’s] </w:t>
      </w:r>
      <w:r w:rsidRPr="00FF2A4A">
        <w:t>network</w:t>
      </w:r>
      <w:r>
        <w:t xml:space="preserve"> monitoring system </w:t>
      </w:r>
      <w:r w:rsidRPr="000D1296">
        <w:rPr>
          <w:color w:val="767171" w:themeColor="background2" w:themeShade="80"/>
        </w:rPr>
        <w:t>[Name of System]</w:t>
      </w:r>
      <w:r>
        <w:t xml:space="preserve">. </w:t>
      </w:r>
    </w:p>
    <w:p w14:paraId="24AA0B18" w14:textId="77777777" w:rsidR="000D1296" w:rsidRDefault="000D1296" w:rsidP="000D1296">
      <w:pPr>
        <w:pStyle w:val="ListParagraph"/>
      </w:pPr>
    </w:p>
    <w:p w14:paraId="24AA0B19" w14:textId="77777777" w:rsidR="000D1296" w:rsidRDefault="000D1296" w:rsidP="000D1296">
      <w:pPr>
        <w:pStyle w:val="ListParagraph"/>
        <w:numPr>
          <w:ilvl w:val="0"/>
          <w:numId w:val="12"/>
        </w:numPr>
        <w:ind w:left="1080"/>
      </w:pPr>
      <w:r>
        <w:t>Reviews should be conducted daily and following a security incident.</w:t>
      </w:r>
    </w:p>
    <w:p w14:paraId="24AA0B1A" w14:textId="77777777" w:rsidR="000D1296" w:rsidRDefault="000D1296" w:rsidP="000D1296">
      <w:pPr>
        <w:pStyle w:val="ListParagraph"/>
        <w:numPr>
          <w:ilvl w:val="0"/>
          <w:numId w:val="12"/>
        </w:numPr>
        <w:ind w:left="1080"/>
      </w:pPr>
      <w:r>
        <w:t xml:space="preserve">The following individuals are the only individuals permitted access to log files: </w:t>
      </w:r>
      <w:r w:rsidRPr="000D1296">
        <w:rPr>
          <w:color w:val="808080"/>
        </w:rPr>
        <w:t>[List of Roles or Individuals]</w:t>
      </w:r>
    </w:p>
    <w:p w14:paraId="24AA0B1B" w14:textId="65029F7B" w:rsidR="000D1296" w:rsidRPr="000D1296" w:rsidRDefault="000D1296" w:rsidP="000D1296">
      <w:pPr>
        <w:pStyle w:val="ListParagraph"/>
        <w:numPr>
          <w:ilvl w:val="0"/>
          <w:numId w:val="12"/>
        </w:numPr>
        <w:ind w:left="1080"/>
      </w:pPr>
      <w:r>
        <w:t xml:space="preserve">The network monitoring system software, </w:t>
      </w:r>
      <w:r w:rsidRPr="000D1296">
        <w:rPr>
          <w:color w:val="808080"/>
        </w:rPr>
        <w:t>[Name of System]</w:t>
      </w:r>
      <w:r w:rsidRPr="00684748">
        <w:t>,</w:t>
      </w:r>
      <w:r>
        <w:t xml:space="preserve"> is designed to alert </w:t>
      </w:r>
      <w:r w:rsidRPr="000D1296">
        <w:rPr>
          <w:color w:val="808080"/>
        </w:rPr>
        <w:t>[Individual Name/Role]</w:t>
      </w:r>
      <w:r>
        <w:t xml:space="preserve"> to any event deemed to be potentially unusual or unauthorized. Alerts are designed as follows</w:t>
      </w:r>
      <w:r w:rsidRPr="000D1296">
        <w:rPr>
          <w:color w:val="808080"/>
        </w:rPr>
        <w:t>: [List of Alerts Mechanisms]</w:t>
      </w:r>
      <w:r w:rsidR="0000236E">
        <w:rPr>
          <w:color w:val="808080"/>
        </w:rPr>
        <w:t>.</w:t>
      </w:r>
    </w:p>
    <w:p w14:paraId="24AA0B1C" w14:textId="77777777" w:rsidR="000D1296" w:rsidRDefault="000D1296" w:rsidP="000D1296"/>
    <w:p w14:paraId="24AA0B1D" w14:textId="77777777" w:rsidR="000D1296" w:rsidRDefault="000D1296" w:rsidP="000D1296">
      <w:pPr>
        <w:pStyle w:val="ListParagraph"/>
        <w:numPr>
          <w:ilvl w:val="0"/>
          <w:numId w:val="10"/>
        </w:numPr>
      </w:pPr>
      <w:r>
        <w:t>The following operating system events are logged:</w:t>
      </w:r>
    </w:p>
    <w:p w14:paraId="24AA0B1E" w14:textId="77777777" w:rsidR="000D1296" w:rsidRDefault="000D1296" w:rsidP="000D1296">
      <w:pPr>
        <w:pStyle w:val="ListParagraph"/>
      </w:pPr>
    </w:p>
    <w:p w14:paraId="24AA0B1F" w14:textId="77777777" w:rsidR="000D1296" w:rsidRDefault="000D1296" w:rsidP="000D1296">
      <w:pPr>
        <w:pStyle w:val="ListParagraph"/>
        <w:numPr>
          <w:ilvl w:val="1"/>
          <w:numId w:val="14"/>
        </w:numPr>
        <w:ind w:left="1080"/>
      </w:pPr>
      <w:r>
        <w:t>Any additions, modifications, or deletions of user accounts.</w:t>
      </w:r>
    </w:p>
    <w:p w14:paraId="24AA0B20" w14:textId="77777777" w:rsidR="000D1296" w:rsidRDefault="000D1296" w:rsidP="000D1296">
      <w:pPr>
        <w:pStyle w:val="ListParagraph"/>
        <w:numPr>
          <w:ilvl w:val="1"/>
          <w:numId w:val="14"/>
        </w:numPr>
        <w:ind w:left="1080"/>
      </w:pPr>
      <w:r>
        <w:t>Any failed or unauthorized attempt at user logon.</w:t>
      </w:r>
    </w:p>
    <w:p w14:paraId="24AA0B21" w14:textId="77777777" w:rsidR="000D1296" w:rsidRDefault="000D1296" w:rsidP="000D1296">
      <w:pPr>
        <w:pStyle w:val="ListParagraph"/>
        <w:numPr>
          <w:ilvl w:val="1"/>
          <w:numId w:val="14"/>
        </w:numPr>
        <w:ind w:left="1080"/>
      </w:pPr>
      <w:r>
        <w:t>Any modification to system files.</w:t>
      </w:r>
    </w:p>
    <w:p w14:paraId="24AA0B22" w14:textId="77777777" w:rsidR="000D1296" w:rsidRDefault="000D1296" w:rsidP="000D1296">
      <w:pPr>
        <w:pStyle w:val="ListParagraph"/>
        <w:numPr>
          <w:ilvl w:val="1"/>
          <w:numId w:val="14"/>
        </w:numPr>
        <w:ind w:left="1080"/>
      </w:pPr>
      <w:r>
        <w:t>Any access to the server or applications running on the server.</w:t>
      </w:r>
    </w:p>
    <w:p w14:paraId="24AA0B23" w14:textId="77777777" w:rsidR="000D1296" w:rsidRDefault="000D1296" w:rsidP="000D1296">
      <w:pPr>
        <w:pStyle w:val="ListParagraph"/>
        <w:numPr>
          <w:ilvl w:val="1"/>
          <w:numId w:val="14"/>
        </w:numPr>
        <w:ind w:left="1080"/>
      </w:pPr>
      <w:r>
        <w:t>All actions taken by individuals with administrative privileges.</w:t>
      </w:r>
    </w:p>
    <w:p w14:paraId="24AA0B24" w14:textId="77777777" w:rsidR="000D1296" w:rsidRDefault="000D1296" w:rsidP="000D1296">
      <w:pPr>
        <w:pStyle w:val="ListParagraph"/>
        <w:numPr>
          <w:ilvl w:val="1"/>
          <w:numId w:val="14"/>
        </w:numPr>
        <w:ind w:left="1080"/>
      </w:pPr>
      <w:r>
        <w:t>All access to audit logs.</w:t>
      </w:r>
    </w:p>
    <w:p w14:paraId="24AA0B25" w14:textId="77777777" w:rsidR="000D1296" w:rsidRDefault="000D1296" w:rsidP="000D1296">
      <w:pPr>
        <w:pStyle w:val="ListParagraph"/>
        <w:ind w:left="1080"/>
      </w:pPr>
    </w:p>
    <w:p w14:paraId="24AA0B26" w14:textId="77777777" w:rsidR="000D1296" w:rsidRPr="00177B6F" w:rsidRDefault="000D1296" w:rsidP="00177B6F">
      <w:pPr>
        <w:pStyle w:val="ListParagraph"/>
      </w:pPr>
      <w:r>
        <w:t xml:space="preserve">The process for restoring logs for analysis is as follows: </w:t>
      </w:r>
      <w:r w:rsidR="00177B6F">
        <w:rPr>
          <w:color w:val="808080"/>
        </w:rPr>
        <w:t>[Document the process</w:t>
      </w:r>
      <w:r w:rsidRPr="00177B6F">
        <w:rPr>
          <w:color w:val="808080"/>
        </w:rPr>
        <w:t>].</w:t>
      </w:r>
    </w:p>
    <w:p w14:paraId="24AA0B27" w14:textId="77777777" w:rsidR="000D1296" w:rsidRDefault="000D1296" w:rsidP="000D1296">
      <w:pPr>
        <w:rPr>
          <w:color w:val="808080"/>
        </w:rPr>
      </w:pPr>
    </w:p>
    <w:p w14:paraId="24AA0B28" w14:textId="3864B58B" w:rsidR="000D1296" w:rsidRDefault="000D1296" w:rsidP="000D1296">
      <w:pPr>
        <w:pStyle w:val="ListParagraph"/>
        <w:numPr>
          <w:ilvl w:val="0"/>
          <w:numId w:val="10"/>
        </w:numPr>
        <w:rPr>
          <w:color w:val="808080"/>
        </w:rPr>
      </w:pPr>
      <w:r w:rsidRPr="000D50F9">
        <w:t>The following database system events are logg</w:t>
      </w:r>
      <w:r>
        <w:t>ed</w:t>
      </w:r>
      <w:r w:rsidRPr="000D50F9">
        <w:t>, and are monitored by the</w:t>
      </w:r>
      <w:r w:rsidR="0000236E">
        <w:rPr>
          <w:color w:val="808080"/>
        </w:rPr>
        <w:t xml:space="preserve"> [Name of system]:</w:t>
      </w:r>
    </w:p>
    <w:p w14:paraId="24AA0B29" w14:textId="77777777" w:rsidR="000D1296" w:rsidRDefault="000D1296" w:rsidP="000D1296">
      <w:pPr>
        <w:pStyle w:val="ListParagraph"/>
        <w:rPr>
          <w:color w:val="808080"/>
        </w:rPr>
      </w:pPr>
    </w:p>
    <w:p w14:paraId="24AA0B2A" w14:textId="30AD1A6F" w:rsidR="000D1296" w:rsidRPr="001F3FA2" w:rsidRDefault="000D1296" w:rsidP="000D1296">
      <w:pPr>
        <w:pStyle w:val="ListParagraph"/>
        <w:numPr>
          <w:ilvl w:val="1"/>
          <w:numId w:val="17"/>
        </w:numPr>
        <w:ind w:left="1080"/>
      </w:pPr>
      <w:r>
        <w:t>Any failed user access attempts to log in to the database</w:t>
      </w:r>
      <w:r w:rsidR="0000236E">
        <w:t>.</w:t>
      </w:r>
    </w:p>
    <w:p w14:paraId="24AA0B2B" w14:textId="7BDBEB9D" w:rsidR="000D1296" w:rsidRPr="001F3FA2" w:rsidRDefault="000D1296" w:rsidP="000D1296">
      <w:pPr>
        <w:pStyle w:val="ListParagraph"/>
        <w:numPr>
          <w:ilvl w:val="1"/>
          <w:numId w:val="17"/>
        </w:numPr>
        <w:ind w:left="1080"/>
      </w:pPr>
      <w:r>
        <w:t>Any login that has been added or removed as a user</w:t>
      </w:r>
      <w:r w:rsidR="0000236E">
        <w:t>.</w:t>
      </w:r>
    </w:p>
    <w:p w14:paraId="24AA0B2C" w14:textId="3EEAD754" w:rsidR="000D1296" w:rsidRPr="001F3FA2" w:rsidRDefault="000D1296" w:rsidP="000D1296">
      <w:pPr>
        <w:pStyle w:val="ListParagraph"/>
        <w:numPr>
          <w:ilvl w:val="1"/>
          <w:numId w:val="17"/>
        </w:numPr>
        <w:ind w:left="1080"/>
      </w:pPr>
      <w:r>
        <w:t>Any login that has been added or removed from a role</w:t>
      </w:r>
      <w:r w:rsidR="0000236E">
        <w:t>.</w:t>
      </w:r>
    </w:p>
    <w:p w14:paraId="24AA0B2D" w14:textId="52537D91" w:rsidR="000D1296" w:rsidRPr="001F3FA2" w:rsidRDefault="000D1296" w:rsidP="000D1296">
      <w:pPr>
        <w:pStyle w:val="ListParagraph"/>
        <w:numPr>
          <w:ilvl w:val="1"/>
          <w:numId w:val="17"/>
        </w:numPr>
        <w:ind w:left="1080"/>
      </w:pPr>
      <w:r>
        <w:t>Any database role that has been added or removed from a database</w:t>
      </w:r>
      <w:r w:rsidR="0000236E">
        <w:t>.</w:t>
      </w:r>
    </w:p>
    <w:p w14:paraId="24AA0B2E" w14:textId="68050B86" w:rsidR="000D1296" w:rsidRPr="001F3FA2" w:rsidRDefault="000D1296" w:rsidP="000D1296">
      <w:pPr>
        <w:pStyle w:val="ListParagraph"/>
        <w:numPr>
          <w:ilvl w:val="1"/>
          <w:numId w:val="17"/>
        </w:numPr>
        <w:ind w:left="1080"/>
      </w:pPr>
      <w:r>
        <w:t>Any password that has been changed for a role</w:t>
      </w:r>
      <w:r w:rsidR="0000236E">
        <w:t>.</w:t>
      </w:r>
    </w:p>
    <w:p w14:paraId="24AA0B2F" w14:textId="24980A71" w:rsidR="000D1296" w:rsidRPr="001F3FA2" w:rsidRDefault="000D1296" w:rsidP="000D1296">
      <w:pPr>
        <w:pStyle w:val="ListParagraph"/>
        <w:numPr>
          <w:ilvl w:val="1"/>
          <w:numId w:val="17"/>
        </w:numPr>
        <w:ind w:left="1080"/>
      </w:pPr>
      <w:r>
        <w:t xml:space="preserve">Any action </w:t>
      </w:r>
      <w:r w:rsidR="00AA57A3">
        <w:t>taken</w:t>
      </w:r>
      <w:r>
        <w:t xml:space="preserve"> by an individual with administrative privileges</w:t>
      </w:r>
      <w:r w:rsidR="0000236E">
        <w:t>.</w:t>
      </w:r>
    </w:p>
    <w:p w14:paraId="24AA0B30" w14:textId="77D56711" w:rsidR="000D1296" w:rsidRDefault="000D1296" w:rsidP="000D1296">
      <w:pPr>
        <w:pStyle w:val="ListParagraph"/>
        <w:numPr>
          <w:ilvl w:val="1"/>
          <w:numId w:val="17"/>
        </w:numPr>
        <w:ind w:left="1080"/>
      </w:pPr>
      <w:r>
        <w:t>All access to audit logs</w:t>
      </w:r>
      <w:r w:rsidR="0000236E">
        <w:t>.</w:t>
      </w:r>
    </w:p>
    <w:p w14:paraId="24AA0B31" w14:textId="77777777" w:rsidR="000D1296" w:rsidRPr="001F3FA2" w:rsidRDefault="000D1296" w:rsidP="000D1296">
      <w:pPr>
        <w:pStyle w:val="ListParagraph"/>
        <w:ind w:left="1080"/>
      </w:pPr>
    </w:p>
    <w:p w14:paraId="24AA0B32" w14:textId="77777777" w:rsidR="000D1296" w:rsidRPr="00177B6F" w:rsidRDefault="000D1296" w:rsidP="00177B6F">
      <w:pPr>
        <w:pStyle w:val="ListParagraph"/>
      </w:pPr>
      <w:r>
        <w:t xml:space="preserve">The process for restoring logs for analysis is as follows: </w:t>
      </w:r>
      <w:r w:rsidR="00177B6F">
        <w:rPr>
          <w:color w:val="808080"/>
        </w:rPr>
        <w:t>[Document the process</w:t>
      </w:r>
      <w:r w:rsidRPr="00177B6F">
        <w:rPr>
          <w:color w:val="808080"/>
        </w:rPr>
        <w:t>].</w:t>
      </w:r>
    </w:p>
    <w:p w14:paraId="24AA0B33" w14:textId="77777777" w:rsidR="000D1296" w:rsidRPr="000D1296" w:rsidRDefault="000D1296" w:rsidP="000D1296">
      <w:pPr>
        <w:rPr>
          <w:color w:val="808080"/>
        </w:rPr>
      </w:pPr>
    </w:p>
    <w:p w14:paraId="24AA0B34" w14:textId="1E4DD0EA" w:rsidR="00177B6F" w:rsidRDefault="00177B6F" w:rsidP="00177B6F">
      <w:pPr>
        <w:pStyle w:val="ListParagraph"/>
        <w:numPr>
          <w:ilvl w:val="0"/>
          <w:numId w:val="10"/>
        </w:numPr>
      </w:pPr>
      <w:r>
        <w:t xml:space="preserve">The following unusual or unauthorized detection events are logged, and are monitored by the </w:t>
      </w:r>
      <w:r w:rsidRPr="00CE7A8F">
        <w:rPr>
          <w:color w:val="808080"/>
        </w:rPr>
        <w:t>[Name of System]</w:t>
      </w:r>
      <w:r w:rsidR="0000236E">
        <w:t>:</w:t>
      </w:r>
    </w:p>
    <w:p w14:paraId="24AA0B35" w14:textId="77777777" w:rsidR="00177B6F" w:rsidRDefault="00177B6F" w:rsidP="00177B6F">
      <w:pPr>
        <w:pStyle w:val="ListParagraph"/>
      </w:pPr>
    </w:p>
    <w:p w14:paraId="24AA0B36" w14:textId="2A54560F" w:rsidR="00177B6F" w:rsidRDefault="00177B6F" w:rsidP="00177B6F">
      <w:pPr>
        <w:pStyle w:val="ListParagraph"/>
        <w:numPr>
          <w:ilvl w:val="1"/>
          <w:numId w:val="21"/>
        </w:numPr>
        <w:ind w:left="1080"/>
      </w:pPr>
      <w:r>
        <w:t xml:space="preserve">Any listed vulnerabilities in the </w:t>
      </w:r>
      <w:r w:rsidRPr="00177B6F">
        <w:rPr>
          <w:color w:val="767171" w:themeColor="background2" w:themeShade="80"/>
        </w:rPr>
        <w:t>[Name of database]</w:t>
      </w:r>
      <w:r w:rsidR="0000236E">
        <w:rPr>
          <w:color w:val="767171" w:themeColor="background2" w:themeShade="80"/>
        </w:rPr>
        <w:t>.</w:t>
      </w:r>
    </w:p>
    <w:p w14:paraId="24AA0B37" w14:textId="54B51DF0" w:rsidR="00177B6F" w:rsidRDefault="0000236E" w:rsidP="00177B6F">
      <w:pPr>
        <w:pStyle w:val="ListParagraph"/>
        <w:numPr>
          <w:ilvl w:val="1"/>
          <w:numId w:val="21"/>
        </w:numPr>
        <w:ind w:left="1080"/>
      </w:pPr>
      <w:r>
        <w:t>Any generic attack not listed.</w:t>
      </w:r>
    </w:p>
    <w:p w14:paraId="24AA0B38" w14:textId="434A5648" w:rsidR="00177B6F" w:rsidRDefault="00177B6F" w:rsidP="00177B6F">
      <w:pPr>
        <w:pStyle w:val="ListParagraph"/>
        <w:numPr>
          <w:ilvl w:val="1"/>
          <w:numId w:val="21"/>
        </w:numPr>
        <w:ind w:left="1080"/>
      </w:pPr>
      <w:r>
        <w:t>Any denial of service attack</w:t>
      </w:r>
      <w:r w:rsidR="0000236E">
        <w:t>.</w:t>
      </w:r>
    </w:p>
    <w:p w14:paraId="24AA0B39" w14:textId="15DCE226" w:rsidR="00177B6F" w:rsidRDefault="00177B6F" w:rsidP="00177B6F">
      <w:pPr>
        <w:pStyle w:val="ListParagraph"/>
        <w:numPr>
          <w:ilvl w:val="1"/>
          <w:numId w:val="21"/>
        </w:numPr>
        <w:ind w:left="1080"/>
      </w:pPr>
      <w:r>
        <w:t>Any authentication failure that might indicate an attack</w:t>
      </w:r>
      <w:r w:rsidR="0000236E">
        <w:t>.</w:t>
      </w:r>
    </w:p>
    <w:p w14:paraId="24AA0B3A" w14:textId="55DC850D" w:rsidR="00177B6F" w:rsidRDefault="00177B6F" w:rsidP="00177B6F">
      <w:pPr>
        <w:pStyle w:val="ListParagraph"/>
        <w:numPr>
          <w:ilvl w:val="1"/>
          <w:numId w:val="21"/>
        </w:numPr>
        <w:ind w:left="1080"/>
      </w:pPr>
      <w:r>
        <w:t>Any traffic typical of known attacks</w:t>
      </w:r>
      <w:r w:rsidR="0000236E">
        <w:t>.</w:t>
      </w:r>
    </w:p>
    <w:p w14:paraId="24AA0B3B" w14:textId="77777777" w:rsidR="00177B6F" w:rsidRDefault="00177B6F" w:rsidP="00177B6F">
      <w:pPr>
        <w:pStyle w:val="ListParagraph"/>
      </w:pPr>
    </w:p>
    <w:p w14:paraId="24AA0B3C" w14:textId="77777777" w:rsidR="00177B6F" w:rsidRPr="00177B6F" w:rsidRDefault="00177B6F" w:rsidP="00177B6F">
      <w:pPr>
        <w:pStyle w:val="ListParagraph"/>
      </w:pPr>
      <w:r>
        <w:t xml:space="preserve">The process for restoring logs for analysis is as follows: </w:t>
      </w:r>
      <w:r>
        <w:rPr>
          <w:color w:val="808080"/>
        </w:rPr>
        <w:t>[Document the process</w:t>
      </w:r>
      <w:r w:rsidRPr="00177B6F">
        <w:rPr>
          <w:color w:val="808080"/>
        </w:rPr>
        <w:t>].</w:t>
      </w:r>
    </w:p>
    <w:p w14:paraId="24AA0B3D" w14:textId="77777777" w:rsidR="000D1296" w:rsidRPr="00FF2A4A" w:rsidRDefault="000D1296" w:rsidP="000D1296"/>
    <w:p w14:paraId="24AA0B3E" w14:textId="77777777" w:rsidR="003608D8" w:rsidRDefault="003608D8" w:rsidP="003608D8">
      <w:pPr>
        <w:rPr>
          <w:rFonts w:cs="Arial"/>
          <w:color w:val="000000" w:themeColor="text1"/>
          <w:szCs w:val="20"/>
        </w:rPr>
      </w:pPr>
    </w:p>
    <w:p w14:paraId="24AA0B3F" w14:textId="77777777" w:rsidR="003608D8" w:rsidRDefault="003608D8" w:rsidP="003608D8">
      <w:pPr>
        <w:rPr>
          <w:rFonts w:cs="Arial"/>
          <w:color w:val="000000" w:themeColor="text1"/>
          <w:szCs w:val="20"/>
        </w:rPr>
      </w:pPr>
    </w:p>
    <w:p w14:paraId="24AA0B40" w14:textId="77777777" w:rsidR="003608D8" w:rsidRDefault="003608D8" w:rsidP="003608D8">
      <w:pPr>
        <w:rPr>
          <w:rFonts w:cs="Arial"/>
          <w:color w:val="000000" w:themeColor="text1"/>
          <w:szCs w:val="20"/>
        </w:rPr>
      </w:pPr>
    </w:p>
    <w:p w14:paraId="24AA0B41" w14:textId="77777777" w:rsidR="003608D8" w:rsidRDefault="003608D8" w:rsidP="003608D8"/>
    <w:p w14:paraId="24AA0B42" w14:textId="07E914E0" w:rsidR="00177B6F" w:rsidRDefault="00177B6F" w:rsidP="00177B6F">
      <w:pPr>
        <w:pStyle w:val="ListParagraph"/>
        <w:numPr>
          <w:ilvl w:val="0"/>
          <w:numId w:val="10"/>
        </w:numPr>
      </w:pPr>
      <w:r>
        <w:t xml:space="preserve">For any unusual or unauthorized event confirmed, the following must be recorded in </w:t>
      </w:r>
      <w:r w:rsidRPr="00161441">
        <w:rPr>
          <w:color w:val="808080"/>
        </w:rPr>
        <w:t>[Form Name]</w:t>
      </w:r>
      <w:r>
        <w:t xml:space="preserve"> and </w:t>
      </w:r>
      <w:r w:rsidRPr="00161441">
        <w:rPr>
          <w:color w:val="808080"/>
        </w:rPr>
        <w:t>[Individual or Role Name]</w:t>
      </w:r>
      <w:r w:rsidR="0000236E">
        <w:rPr>
          <w:color w:val="808080"/>
        </w:rPr>
        <w:t xml:space="preserve"> </w:t>
      </w:r>
      <w:r w:rsidR="0000236E" w:rsidRPr="0000236E">
        <w:t>must be</w:t>
      </w:r>
      <w:r w:rsidRPr="00161441">
        <w:rPr>
          <w:color w:val="808080"/>
        </w:rPr>
        <w:t xml:space="preserve"> </w:t>
      </w:r>
      <w:r>
        <w:t>informed.</w:t>
      </w:r>
    </w:p>
    <w:p w14:paraId="24AA0B43" w14:textId="77777777" w:rsidR="00177B6F" w:rsidRDefault="00177B6F" w:rsidP="00177B6F">
      <w:pPr>
        <w:pStyle w:val="ListParagraph"/>
      </w:pPr>
    </w:p>
    <w:p w14:paraId="24AA0B44" w14:textId="77777777" w:rsidR="00177B6F" w:rsidRDefault="00177B6F" w:rsidP="00177B6F">
      <w:pPr>
        <w:pStyle w:val="ListParagraph"/>
        <w:numPr>
          <w:ilvl w:val="1"/>
          <w:numId w:val="23"/>
        </w:numPr>
        <w:ind w:left="1080"/>
      </w:pPr>
      <w:r>
        <w:t>User ID</w:t>
      </w:r>
    </w:p>
    <w:p w14:paraId="24AA0B45" w14:textId="77777777" w:rsidR="00177B6F" w:rsidRDefault="00177B6F" w:rsidP="00177B6F">
      <w:pPr>
        <w:pStyle w:val="ListParagraph"/>
        <w:numPr>
          <w:ilvl w:val="1"/>
          <w:numId w:val="23"/>
        </w:numPr>
        <w:ind w:left="1080"/>
      </w:pPr>
      <w:r>
        <w:t>Date &amp; Time</w:t>
      </w:r>
    </w:p>
    <w:p w14:paraId="24AA0B46" w14:textId="77777777" w:rsidR="00177B6F" w:rsidRDefault="00177B6F" w:rsidP="00177B6F">
      <w:pPr>
        <w:pStyle w:val="ListParagraph"/>
        <w:numPr>
          <w:ilvl w:val="1"/>
          <w:numId w:val="23"/>
        </w:numPr>
        <w:ind w:left="1080"/>
      </w:pPr>
      <w:r>
        <w:t>Event type</w:t>
      </w:r>
    </w:p>
    <w:p w14:paraId="24AA0B47" w14:textId="77777777" w:rsidR="00177B6F" w:rsidRDefault="00177B6F" w:rsidP="00177B6F">
      <w:pPr>
        <w:pStyle w:val="ListParagraph"/>
        <w:numPr>
          <w:ilvl w:val="1"/>
          <w:numId w:val="23"/>
        </w:numPr>
        <w:ind w:left="1080"/>
      </w:pPr>
      <w:r>
        <w:t>IP Address of Origin</w:t>
      </w:r>
    </w:p>
    <w:p w14:paraId="24AA0B48" w14:textId="77777777" w:rsidR="00177B6F" w:rsidRDefault="00177B6F" w:rsidP="00177B6F">
      <w:pPr>
        <w:pStyle w:val="ListParagraph"/>
        <w:numPr>
          <w:ilvl w:val="1"/>
          <w:numId w:val="23"/>
        </w:numPr>
        <w:ind w:left="1080"/>
      </w:pPr>
      <w:r>
        <w:t>System and data affected</w:t>
      </w:r>
    </w:p>
    <w:p w14:paraId="24AA0B49" w14:textId="77777777" w:rsidR="00177B6F" w:rsidRPr="00092F7F" w:rsidRDefault="00177B6F" w:rsidP="00177B6F">
      <w:pPr>
        <w:pStyle w:val="ListParagraph"/>
        <w:rPr>
          <w:color w:val="808080"/>
        </w:rPr>
      </w:pPr>
    </w:p>
    <w:p w14:paraId="24AA0B4A" w14:textId="3B6BC22C" w:rsidR="00177B6F" w:rsidRPr="00092F7F" w:rsidRDefault="00177B6F" w:rsidP="00177B6F">
      <w:pPr>
        <w:pStyle w:val="ListParagraph"/>
        <w:rPr>
          <w:color w:val="808080"/>
        </w:rPr>
      </w:pPr>
      <w:r>
        <w:t xml:space="preserve">The process for restoring logs for analysis is as follows: </w:t>
      </w:r>
      <w:r w:rsidR="000702B8">
        <w:rPr>
          <w:color w:val="808080"/>
        </w:rPr>
        <w:t>[Document the process</w:t>
      </w:r>
      <w:r w:rsidRPr="00FE0268">
        <w:rPr>
          <w:color w:val="808080"/>
        </w:rPr>
        <w:t>]</w:t>
      </w:r>
      <w:r w:rsidR="0000236E">
        <w:rPr>
          <w:color w:val="808080"/>
        </w:rPr>
        <w:t>.</w:t>
      </w:r>
    </w:p>
    <w:p w14:paraId="24AA0B4B" w14:textId="77777777" w:rsidR="00177B6F" w:rsidRDefault="00177B6F" w:rsidP="00D07E72">
      <w:pPr>
        <w:pStyle w:val="ListNumber"/>
        <w:numPr>
          <w:ilvl w:val="0"/>
          <w:numId w:val="0"/>
        </w:numPr>
        <w:tabs>
          <w:tab w:val="clear" w:pos="360"/>
        </w:tabs>
        <w:spacing w:after="0"/>
        <w:ind w:left="360" w:hanging="360"/>
        <w:rPr>
          <w:rFonts w:ascii="Arial" w:hAnsi="Arial" w:cs="Arial"/>
          <w:color w:val="000000" w:themeColor="text1"/>
        </w:rPr>
      </w:pPr>
    </w:p>
    <w:p w14:paraId="24AA0B4C" w14:textId="77777777" w:rsidR="00D07E72" w:rsidRDefault="00D07E72" w:rsidP="00D07E72">
      <w:pPr>
        <w:pStyle w:val="ListParagraph"/>
        <w:numPr>
          <w:ilvl w:val="0"/>
          <w:numId w:val="10"/>
        </w:numPr>
        <w:rPr>
          <w:rFonts w:cs="Arial"/>
          <w:szCs w:val="20"/>
        </w:rPr>
      </w:pPr>
      <w:r>
        <w:rPr>
          <w:rFonts w:cs="Arial"/>
          <w:szCs w:val="20"/>
        </w:rPr>
        <w:t>Logs must be retained for a period of a year, unless otherwise stated.</w:t>
      </w:r>
    </w:p>
    <w:p w14:paraId="24AA0B4D" w14:textId="77777777" w:rsidR="00D07E72" w:rsidRDefault="00D07E72" w:rsidP="00D07E72">
      <w:pPr>
        <w:pStyle w:val="ListParagraph"/>
        <w:rPr>
          <w:rFonts w:cs="Arial"/>
          <w:szCs w:val="20"/>
        </w:rPr>
      </w:pPr>
    </w:p>
    <w:p w14:paraId="24AA0B4E" w14:textId="77777777" w:rsidR="00D07E72" w:rsidRPr="00D65B26" w:rsidRDefault="00D07E72" w:rsidP="00D07E72">
      <w:pPr>
        <w:pStyle w:val="ListParagraph"/>
        <w:numPr>
          <w:ilvl w:val="0"/>
          <w:numId w:val="25"/>
        </w:numPr>
        <w:ind w:left="1080"/>
        <w:rPr>
          <w:rFonts w:cs="Arial"/>
          <w:szCs w:val="20"/>
        </w:rPr>
      </w:pPr>
      <w:r>
        <w:rPr>
          <w:rFonts w:cs="Arial"/>
          <w:szCs w:val="20"/>
        </w:rPr>
        <w:t xml:space="preserve">Log disposal procedures are outlined within the </w:t>
      </w:r>
      <w:r w:rsidRPr="00092F7F">
        <w:rPr>
          <w:color w:val="808080"/>
        </w:rPr>
        <w:t>[Name of related policy]</w:t>
      </w:r>
      <w:r>
        <w:rPr>
          <w:color w:val="808080"/>
        </w:rPr>
        <w:t>.</w:t>
      </w:r>
    </w:p>
    <w:p w14:paraId="24AA0B4F" w14:textId="77777777" w:rsidR="00D07E72" w:rsidRDefault="00D07E72" w:rsidP="000D1296">
      <w:pPr>
        <w:pStyle w:val="ListNumber"/>
        <w:numPr>
          <w:ilvl w:val="0"/>
          <w:numId w:val="0"/>
        </w:numPr>
        <w:tabs>
          <w:tab w:val="clear" w:pos="360"/>
        </w:tabs>
        <w:ind w:left="360" w:hanging="360"/>
        <w:rPr>
          <w:rFonts w:ascii="Arial" w:hAnsi="Arial" w:cs="Arial"/>
          <w:color w:val="000000" w:themeColor="text1"/>
        </w:rPr>
      </w:pPr>
    </w:p>
    <w:p w14:paraId="24AA0B50" w14:textId="77777777" w:rsidR="00B502A4" w:rsidRDefault="00B502A4" w:rsidP="00B502A4">
      <w:pPr>
        <w:pStyle w:val="Heading1"/>
      </w:pPr>
      <w:r>
        <w:t>Non-Compliance</w:t>
      </w:r>
    </w:p>
    <w:p w14:paraId="24AA0B51"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24AA0B52" w14:textId="77777777" w:rsidR="00B502A4" w:rsidRDefault="00B502A4" w:rsidP="00E64679"/>
    <w:p w14:paraId="24AA0B53" w14:textId="575DE52A"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00236E">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24AA0B54" w14:textId="77777777" w:rsidR="00AA6841" w:rsidRPr="00AA6841" w:rsidRDefault="00AA6841" w:rsidP="00AA6841">
      <w:pPr>
        <w:rPr>
          <w:rFonts w:cs="Arial"/>
          <w:color w:val="000000" w:themeColor="text1"/>
        </w:rPr>
      </w:pPr>
    </w:p>
    <w:p w14:paraId="24AA0B55" w14:textId="12ADDC52"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00236E">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24AA0B56"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24AA0B57"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24AA0B58" w14:textId="77777777" w:rsidR="00AA6841" w:rsidRDefault="00AA6841" w:rsidP="00E64679"/>
    <w:p w14:paraId="24AA0B8D" w14:textId="77777777" w:rsidR="00212E88" w:rsidRPr="00212E88" w:rsidRDefault="00212E88" w:rsidP="008F3CD7">
      <w:pPr>
        <w:jc w:val="center"/>
        <w:rPr>
          <w:rFonts w:cs="Arial"/>
          <w:szCs w:val="20"/>
        </w:rPr>
      </w:pPr>
      <w:bookmarkStart w:id="0" w:name="_GoBack"/>
      <w:bookmarkEnd w:id="0"/>
    </w:p>
    <w:sectPr w:rsidR="00212E88" w:rsidRPr="00212E88"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534F6" w14:textId="77777777" w:rsidR="001B25AC" w:rsidRDefault="001B25AC">
      <w:r>
        <w:separator/>
      </w:r>
    </w:p>
  </w:endnote>
  <w:endnote w:type="continuationSeparator" w:id="0">
    <w:p w14:paraId="5C2B3E6A" w14:textId="77777777" w:rsidR="001B25AC" w:rsidRDefault="001B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C30A5" w14:textId="77777777" w:rsidR="001B25AC" w:rsidRDefault="001B25AC">
      <w:r>
        <w:separator/>
      </w:r>
    </w:p>
  </w:footnote>
  <w:footnote w:type="continuationSeparator" w:id="0">
    <w:p w14:paraId="2DF04A1B" w14:textId="77777777" w:rsidR="001B25AC" w:rsidRDefault="001B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0B92" w14:textId="61496BA1"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041D07DF"/>
    <w:multiLevelType w:val="hybridMultilevel"/>
    <w:tmpl w:val="A3DA6ED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40229"/>
    <w:multiLevelType w:val="hybridMultilevel"/>
    <w:tmpl w:val="24EE2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45"/>
    <w:multiLevelType w:val="hybridMultilevel"/>
    <w:tmpl w:val="B7EEC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FD6E5D"/>
    <w:multiLevelType w:val="hybridMultilevel"/>
    <w:tmpl w:val="7B94714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4F047C"/>
    <w:multiLevelType w:val="hybridMultilevel"/>
    <w:tmpl w:val="60E6E96A"/>
    <w:lvl w:ilvl="0" w:tplc="D722ADC4">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76F4C"/>
    <w:multiLevelType w:val="hybridMultilevel"/>
    <w:tmpl w:val="E9642F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792AA3"/>
    <w:multiLevelType w:val="hybridMultilevel"/>
    <w:tmpl w:val="D624A6B0"/>
    <w:lvl w:ilvl="0" w:tplc="536A7E0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80540A"/>
    <w:multiLevelType w:val="hybridMultilevel"/>
    <w:tmpl w:val="AE14B3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4D16AEA"/>
    <w:multiLevelType w:val="hybridMultilevel"/>
    <w:tmpl w:val="CCBCF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AA0670"/>
    <w:multiLevelType w:val="hybridMultilevel"/>
    <w:tmpl w:val="EF74B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11EE6"/>
    <w:multiLevelType w:val="hybridMultilevel"/>
    <w:tmpl w:val="3FA61980"/>
    <w:lvl w:ilvl="0" w:tplc="536A7E0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AB5190"/>
    <w:multiLevelType w:val="hybridMultilevel"/>
    <w:tmpl w:val="B4C451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AF14EE"/>
    <w:multiLevelType w:val="hybridMultilevel"/>
    <w:tmpl w:val="0AA49D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B47C27"/>
    <w:multiLevelType w:val="hybridMultilevel"/>
    <w:tmpl w:val="538458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F5A5343"/>
    <w:multiLevelType w:val="hybridMultilevel"/>
    <w:tmpl w:val="738C34BA"/>
    <w:lvl w:ilvl="0" w:tplc="23421130">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ED5EF7"/>
    <w:multiLevelType w:val="hybridMultilevel"/>
    <w:tmpl w:val="DA6AA56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0F2103"/>
    <w:multiLevelType w:val="hybridMultilevel"/>
    <w:tmpl w:val="3B22FE46"/>
    <w:lvl w:ilvl="0" w:tplc="D722ADC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9D11CD"/>
    <w:multiLevelType w:val="hybridMultilevel"/>
    <w:tmpl w:val="15E205C0"/>
    <w:lvl w:ilvl="0" w:tplc="BD026D7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B3559"/>
    <w:multiLevelType w:val="hybridMultilevel"/>
    <w:tmpl w:val="95401F80"/>
    <w:lvl w:ilvl="0" w:tplc="D722AD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3"/>
  </w:num>
  <w:num w:numId="3">
    <w:abstractNumId w:val="15"/>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
  </w:num>
  <w:num w:numId="9">
    <w:abstractNumId w:val="1"/>
  </w:num>
  <w:num w:numId="10">
    <w:abstractNumId w:val="19"/>
  </w:num>
  <w:num w:numId="11">
    <w:abstractNumId w:val="11"/>
  </w:num>
  <w:num w:numId="12">
    <w:abstractNumId w:val="3"/>
  </w:num>
  <w:num w:numId="13">
    <w:abstractNumId w:val="16"/>
  </w:num>
  <w:num w:numId="14">
    <w:abstractNumId w:val="4"/>
  </w:num>
  <w:num w:numId="15">
    <w:abstractNumId w:val="18"/>
  </w:num>
  <w:num w:numId="16">
    <w:abstractNumId w:val="17"/>
  </w:num>
  <w:num w:numId="17">
    <w:abstractNumId w:val="20"/>
  </w:num>
  <w:num w:numId="18">
    <w:abstractNumId w:val="9"/>
  </w:num>
  <w:num w:numId="19">
    <w:abstractNumId w:val="13"/>
  </w:num>
  <w:num w:numId="20">
    <w:abstractNumId w:val="22"/>
  </w:num>
  <w:num w:numId="21">
    <w:abstractNumId w:val="8"/>
  </w:num>
  <w:num w:numId="22">
    <w:abstractNumId w:val="21"/>
  </w:num>
  <w:num w:numId="23">
    <w:abstractNumId w:val="5"/>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0236E"/>
    <w:rsid w:val="00026ACB"/>
    <w:rsid w:val="00056DC5"/>
    <w:rsid w:val="000702B8"/>
    <w:rsid w:val="000B48DB"/>
    <w:rsid w:val="000D1296"/>
    <w:rsid w:val="000F62E3"/>
    <w:rsid w:val="00101A2D"/>
    <w:rsid w:val="001123D5"/>
    <w:rsid w:val="001135E9"/>
    <w:rsid w:val="00134035"/>
    <w:rsid w:val="00145681"/>
    <w:rsid w:val="00177B6F"/>
    <w:rsid w:val="00186D07"/>
    <w:rsid w:val="0019293E"/>
    <w:rsid w:val="001B25AC"/>
    <w:rsid w:val="001D5C1E"/>
    <w:rsid w:val="00212E88"/>
    <w:rsid w:val="00222174"/>
    <w:rsid w:val="002B5E4F"/>
    <w:rsid w:val="002D034A"/>
    <w:rsid w:val="002D47F6"/>
    <w:rsid w:val="003018D3"/>
    <w:rsid w:val="00303D6C"/>
    <w:rsid w:val="003331A9"/>
    <w:rsid w:val="00340140"/>
    <w:rsid w:val="003404E3"/>
    <w:rsid w:val="00352A14"/>
    <w:rsid w:val="003608D8"/>
    <w:rsid w:val="003D187A"/>
    <w:rsid w:val="004307CB"/>
    <w:rsid w:val="00432006"/>
    <w:rsid w:val="004371F3"/>
    <w:rsid w:val="0044200A"/>
    <w:rsid w:val="00480E89"/>
    <w:rsid w:val="004D269E"/>
    <w:rsid w:val="004D32EB"/>
    <w:rsid w:val="00500F2D"/>
    <w:rsid w:val="005266E7"/>
    <w:rsid w:val="0054288B"/>
    <w:rsid w:val="00572EAF"/>
    <w:rsid w:val="005A3623"/>
    <w:rsid w:val="005B073C"/>
    <w:rsid w:val="00625F64"/>
    <w:rsid w:val="00636CD4"/>
    <w:rsid w:val="0066050C"/>
    <w:rsid w:val="00687F8E"/>
    <w:rsid w:val="006B2FB8"/>
    <w:rsid w:val="006B5956"/>
    <w:rsid w:val="006B66A1"/>
    <w:rsid w:val="006C19C9"/>
    <w:rsid w:val="006D629B"/>
    <w:rsid w:val="00701BB0"/>
    <w:rsid w:val="0072444D"/>
    <w:rsid w:val="007521AB"/>
    <w:rsid w:val="007547E6"/>
    <w:rsid w:val="007624CE"/>
    <w:rsid w:val="00797D60"/>
    <w:rsid w:val="007A6042"/>
    <w:rsid w:val="007A6EC1"/>
    <w:rsid w:val="007B4ACB"/>
    <w:rsid w:val="007C0C0C"/>
    <w:rsid w:val="007D03A1"/>
    <w:rsid w:val="007D06EE"/>
    <w:rsid w:val="007F767E"/>
    <w:rsid w:val="00804A11"/>
    <w:rsid w:val="0081572D"/>
    <w:rsid w:val="00861438"/>
    <w:rsid w:val="00866FC1"/>
    <w:rsid w:val="008712BF"/>
    <w:rsid w:val="008B4684"/>
    <w:rsid w:val="008C5E54"/>
    <w:rsid w:val="008D0C7B"/>
    <w:rsid w:val="008F3CD7"/>
    <w:rsid w:val="009113E0"/>
    <w:rsid w:val="009420A3"/>
    <w:rsid w:val="009E43CD"/>
    <w:rsid w:val="00AA57A3"/>
    <w:rsid w:val="00AA6841"/>
    <w:rsid w:val="00AE32EB"/>
    <w:rsid w:val="00B502A4"/>
    <w:rsid w:val="00B93EF7"/>
    <w:rsid w:val="00BA5493"/>
    <w:rsid w:val="00BC1B91"/>
    <w:rsid w:val="00C24557"/>
    <w:rsid w:val="00C81438"/>
    <w:rsid w:val="00C8415D"/>
    <w:rsid w:val="00CA08B6"/>
    <w:rsid w:val="00CB51A4"/>
    <w:rsid w:val="00D020A7"/>
    <w:rsid w:val="00D02F81"/>
    <w:rsid w:val="00D07E72"/>
    <w:rsid w:val="00D206DA"/>
    <w:rsid w:val="00D2496C"/>
    <w:rsid w:val="00D27D32"/>
    <w:rsid w:val="00DA7C04"/>
    <w:rsid w:val="00DC143E"/>
    <w:rsid w:val="00DC7917"/>
    <w:rsid w:val="00DD068A"/>
    <w:rsid w:val="00DE2AF1"/>
    <w:rsid w:val="00E64679"/>
    <w:rsid w:val="00E72B5D"/>
    <w:rsid w:val="00E83C56"/>
    <w:rsid w:val="00F3751B"/>
    <w:rsid w:val="00F41C55"/>
    <w:rsid w:val="00F73B61"/>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0881E5ED-C63E-4C2A-8760-6BA560CF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2015-11-24T15:10:00Z</dcterms:created>
  <dcterms:modified xsi:type="dcterms:W3CDTF">2016-09-27T20:51:00Z</dcterms:modified>
</cp:coreProperties>
</file>