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8DA8" w14:textId="77777777" w:rsidR="00861438" w:rsidRPr="00102D22" w:rsidRDefault="006E2105" w:rsidP="00C8415D">
      <w:pPr>
        <w:pStyle w:val="Heading1"/>
        <w:rPr>
          <w:sz w:val="36"/>
          <w:szCs w:val="36"/>
        </w:rPr>
      </w:pPr>
      <w:r w:rsidRPr="00102D22">
        <w:rPr>
          <w:sz w:val="36"/>
          <w:szCs w:val="36"/>
        </w:rPr>
        <w:t xml:space="preserve">Compliance </w:t>
      </w:r>
      <w:r w:rsidR="00E64679" w:rsidRPr="00102D22">
        <w:rPr>
          <w:sz w:val="36"/>
          <w:szCs w:val="36"/>
        </w:rPr>
        <w:t xml:space="preserve">Policy </w:t>
      </w:r>
    </w:p>
    <w:p w14:paraId="044D8DA9" w14:textId="77777777" w:rsidR="00E64679" w:rsidRPr="00102D22" w:rsidRDefault="00E64679" w:rsidP="004307CB">
      <w:pPr>
        <w:spacing w:before="60" w:after="60"/>
        <w:rPr>
          <w:rFonts w:cs="Arial"/>
          <w:color w:val="808080" w:themeColor="background1" w:themeShade="80"/>
        </w:rPr>
      </w:pPr>
    </w:p>
    <w:p w14:paraId="044D8DAA" w14:textId="77777777" w:rsidR="00861438" w:rsidRPr="00102D22" w:rsidRDefault="004371F3" w:rsidP="004307CB">
      <w:pPr>
        <w:spacing w:before="60" w:after="60"/>
        <w:rPr>
          <w:rFonts w:cs="Arial"/>
          <w:color w:val="808080" w:themeColor="background1" w:themeShade="80"/>
        </w:rPr>
      </w:pPr>
      <w:r w:rsidRPr="00102D22">
        <w:rPr>
          <w:rFonts w:cs="Arial"/>
          <w:color w:val="808080" w:themeColor="background1" w:themeShade="80"/>
        </w:rPr>
        <w:t>To use this template, simply</w:t>
      </w:r>
      <w:r w:rsidR="004307CB" w:rsidRPr="00102D22">
        <w:rPr>
          <w:rFonts w:cs="Arial"/>
          <w:color w:val="808080" w:themeColor="background1" w:themeShade="80"/>
        </w:rPr>
        <w:t xml:space="preserve"> </w:t>
      </w:r>
      <w:r w:rsidRPr="00102D22">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102D22">
        <w:rPr>
          <w:rFonts w:cs="Arial"/>
          <w:color w:val="808080" w:themeColor="background1" w:themeShade="80"/>
        </w:rPr>
        <w:t xml:space="preserve">. </w:t>
      </w:r>
    </w:p>
    <w:p w14:paraId="044D8DC1" w14:textId="77777777" w:rsidR="00E64679" w:rsidRPr="00102D22" w:rsidRDefault="00E64679" w:rsidP="004307CB">
      <w:pPr>
        <w:spacing w:before="60" w:after="60"/>
        <w:rPr>
          <w:rFonts w:cs="Arial"/>
          <w:color w:val="808080" w:themeColor="background1" w:themeShade="80"/>
        </w:rPr>
      </w:pPr>
    </w:p>
    <w:p w14:paraId="044D8DC2" w14:textId="77777777" w:rsidR="008B4684" w:rsidRPr="00102D22" w:rsidRDefault="00E64679" w:rsidP="008B4684">
      <w:pPr>
        <w:pStyle w:val="Heading1"/>
      </w:pPr>
      <w:r w:rsidRPr="00102D22">
        <w:t>Purpose</w:t>
      </w:r>
    </w:p>
    <w:p w14:paraId="044D8DC3" w14:textId="77777777" w:rsidR="00E64679" w:rsidRPr="00102D22" w:rsidRDefault="00E64679" w:rsidP="00E64679">
      <w:pPr>
        <w:rPr>
          <w:rFonts w:cs="Arial"/>
          <w:color w:val="808080"/>
        </w:rPr>
      </w:pPr>
      <w:r w:rsidRPr="00102D22">
        <w:rPr>
          <w:rFonts w:cs="Arial"/>
          <w:color w:val="808080"/>
        </w:rPr>
        <w:t xml:space="preserve">Describe the factors or circumstances that mandate the existence of the policy. Also state the policy’s basic objectives and what the policy is meant to achieve. </w:t>
      </w:r>
    </w:p>
    <w:p w14:paraId="044D8DC4" w14:textId="77777777" w:rsidR="00E64679" w:rsidRPr="00102D22" w:rsidRDefault="00E64679" w:rsidP="00E64679">
      <w:pPr>
        <w:rPr>
          <w:rFonts w:cs="Arial"/>
          <w:color w:val="808080"/>
        </w:rPr>
      </w:pPr>
    </w:p>
    <w:p w14:paraId="044D8DC5" w14:textId="77777777" w:rsidR="006E2105" w:rsidRPr="00102D22" w:rsidRDefault="006E2105" w:rsidP="006E2105">
      <w:pPr>
        <w:rPr>
          <w:rFonts w:cs="Arial"/>
        </w:rPr>
      </w:pPr>
      <w:r w:rsidRPr="00102D22">
        <w:rPr>
          <w:rFonts w:cs="Arial"/>
        </w:rPr>
        <w:t xml:space="preserve">The purpose of this policy is to ensure proper measures are in place to avoid non-adherence to information security compliance requirements – legal, contractual, regulatory, or otherwise. </w:t>
      </w:r>
    </w:p>
    <w:p w14:paraId="044D8DC6" w14:textId="77777777" w:rsidR="00E64679" w:rsidRPr="00102D22" w:rsidRDefault="00E64679" w:rsidP="00E64679">
      <w:pPr>
        <w:rPr>
          <w:rFonts w:cs="Arial"/>
        </w:rPr>
      </w:pPr>
    </w:p>
    <w:p w14:paraId="044D8DC7" w14:textId="77777777" w:rsidR="00E64679" w:rsidRPr="00102D22" w:rsidRDefault="00E64679" w:rsidP="00E64679">
      <w:pPr>
        <w:pStyle w:val="Heading1"/>
      </w:pPr>
      <w:r w:rsidRPr="00102D22">
        <w:t>Scope</w:t>
      </w:r>
    </w:p>
    <w:p w14:paraId="044D8DC8" w14:textId="111DD198" w:rsidR="00E64679" w:rsidRPr="00102D22" w:rsidRDefault="00E64679" w:rsidP="00E64679">
      <w:pPr>
        <w:rPr>
          <w:rFonts w:cs="Arial"/>
          <w:color w:val="808080"/>
          <w:szCs w:val="20"/>
        </w:rPr>
      </w:pPr>
      <w:r w:rsidRPr="00102D22">
        <w:rPr>
          <w:rFonts w:cs="Arial"/>
          <w:color w:val="808080"/>
          <w:szCs w:val="20"/>
        </w:rPr>
        <w:t>Define to whom and to what systems this policy applies. List the employees required to comply, or simply indicate “all” if all must comply. Also indicate any exclusions or exceptions</w:t>
      </w:r>
      <w:r w:rsidR="00FD0C71">
        <w:rPr>
          <w:rFonts w:cs="Arial"/>
          <w:color w:val="808080"/>
          <w:szCs w:val="20"/>
        </w:rPr>
        <w:t>,</w:t>
      </w:r>
      <w:r w:rsidRPr="00102D22">
        <w:rPr>
          <w:rFonts w:cs="Arial"/>
          <w:color w:val="808080"/>
          <w:szCs w:val="20"/>
        </w:rPr>
        <w:t xml:space="preserve"> i.e. those people, elements</w:t>
      </w:r>
      <w:r w:rsidR="00FD0C71">
        <w:rPr>
          <w:rFonts w:cs="Arial"/>
          <w:color w:val="808080"/>
          <w:szCs w:val="20"/>
        </w:rPr>
        <w:t>,</w:t>
      </w:r>
      <w:r w:rsidRPr="00102D22">
        <w:rPr>
          <w:rFonts w:cs="Arial"/>
          <w:color w:val="808080"/>
          <w:szCs w:val="20"/>
        </w:rPr>
        <w:t xml:space="preserve"> or situations that are not covered by this policy or where special consideration may be made.</w:t>
      </w:r>
    </w:p>
    <w:p w14:paraId="044D8DC9" w14:textId="77777777" w:rsidR="006E2105" w:rsidRPr="00102D22" w:rsidRDefault="006E2105" w:rsidP="006E2105">
      <w:pPr>
        <w:rPr>
          <w:rFonts w:cs="Arial"/>
        </w:rPr>
      </w:pPr>
    </w:p>
    <w:p w14:paraId="044D8DCA" w14:textId="77777777" w:rsidR="006E2105" w:rsidRPr="00102D22" w:rsidRDefault="006E2105" w:rsidP="006E2105">
      <w:pPr>
        <w:rPr>
          <w:rFonts w:cs="Arial"/>
        </w:rPr>
      </w:pPr>
      <w:r w:rsidRPr="00102D22">
        <w:rPr>
          <w:rFonts w:cs="Arial"/>
        </w:rPr>
        <w:t xml:space="preserve">This Compliance Policy applies to all business processes and data, information systems and components, personnel, and physical areas of </w:t>
      </w:r>
      <w:r w:rsidRPr="00102D22">
        <w:rPr>
          <w:rFonts w:cs="Arial"/>
          <w:color w:val="A6A6A6" w:themeColor="background1" w:themeShade="A6"/>
          <w:szCs w:val="20"/>
          <w:lang w:eastAsia="en-CA"/>
        </w:rPr>
        <w:t>[insert Company’s name]</w:t>
      </w:r>
      <w:r w:rsidRPr="00102D22">
        <w:rPr>
          <w:rFonts w:cs="Arial"/>
        </w:rPr>
        <w:t>.</w:t>
      </w:r>
    </w:p>
    <w:p w14:paraId="044D8DCB" w14:textId="77777777" w:rsidR="00B502A4" w:rsidRPr="00102D22" w:rsidRDefault="00B502A4" w:rsidP="00E64679">
      <w:pPr>
        <w:rPr>
          <w:rFonts w:cs="Arial"/>
          <w:color w:val="000000" w:themeColor="text1"/>
        </w:rPr>
      </w:pPr>
    </w:p>
    <w:p w14:paraId="044D8DCC" w14:textId="77777777" w:rsidR="00B502A4" w:rsidRPr="00102D22" w:rsidRDefault="00B502A4" w:rsidP="00B502A4">
      <w:pPr>
        <w:pStyle w:val="Heading1"/>
      </w:pPr>
      <w:r w:rsidRPr="00102D22">
        <w:t>Definitions</w:t>
      </w:r>
    </w:p>
    <w:p w14:paraId="044D8DCD" w14:textId="3FFE6F56" w:rsidR="00B502A4" w:rsidRPr="00102D22" w:rsidRDefault="00B502A4" w:rsidP="00B502A4">
      <w:pPr>
        <w:rPr>
          <w:rFonts w:cs="Arial"/>
          <w:color w:val="808080"/>
        </w:rPr>
      </w:pPr>
      <w:r w:rsidRPr="00102D22">
        <w:rPr>
          <w:rFonts w:cs="Arial"/>
          <w:color w:val="808080"/>
        </w:rPr>
        <w:t>Define any key terms, acronyms</w:t>
      </w:r>
      <w:r w:rsidR="00FD0C71">
        <w:rPr>
          <w:rFonts w:cs="Arial"/>
          <w:color w:val="808080"/>
        </w:rPr>
        <w:t>,</w:t>
      </w:r>
      <w:r w:rsidRPr="00102D22">
        <w:rPr>
          <w:rFonts w:cs="Arial"/>
          <w:color w:val="808080"/>
        </w:rPr>
        <w:t xml:space="preserve"> or concepts that will be used in the policy. A standard glossary approach is sufficient.</w:t>
      </w:r>
    </w:p>
    <w:p w14:paraId="044D8DCE" w14:textId="77777777" w:rsidR="00B502A4" w:rsidRPr="00102D22" w:rsidRDefault="00B502A4" w:rsidP="00B502A4">
      <w:pPr>
        <w:rPr>
          <w:rFonts w:cs="Arial"/>
          <w:color w:val="808080"/>
        </w:rPr>
      </w:pPr>
    </w:p>
    <w:p w14:paraId="044D8DCF" w14:textId="77777777" w:rsidR="00B502A4" w:rsidRPr="00102D22" w:rsidRDefault="00B502A4" w:rsidP="00B502A4">
      <w:pPr>
        <w:pStyle w:val="Heading1"/>
      </w:pPr>
      <w:r w:rsidRPr="00102D22">
        <w:t>Governing Laws &amp; Regulations</w:t>
      </w:r>
      <w:r w:rsidR="006E2105" w:rsidRPr="00102D22">
        <w:t xml:space="preserve"> &amp; Standards </w:t>
      </w:r>
    </w:p>
    <w:p w14:paraId="044D8DD0" w14:textId="77777777" w:rsidR="00B502A4" w:rsidRPr="00102D22" w:rsidRDefault="00B502A4" w:rsidP="00B502A4">
      <w:pPr>
        <w:rPr>
          <w:rFonts w:cs="Arial"/>
          <w:color w:val="808080"/>
        </w:rPr>
      </w:pPr>
      <w:r w:rsidRPr="00102D22">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044D8DD1" w14:textId="77777777" w:rsidR="00B502A4" w:rsidRPr="00102D22"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771"/>
      </w:tblGrid>
      <w:tr w:rsidR="006E2105" w:rsidRPr="00102D22" w14:paraId="044D8DD4" w14:textId="77777777" w:rsidTr="00AD7C5F">
        <w:tc>
          <w:tcPr>
            <w:tcW w:w="3425" w:type="dxa"/>
            <w:shd w:val="clear" w:color="auto" w:fill="DDDECE"/>
            <w:vAlign w:val="center"/>
          </w:tcPr>
          <w:p w14:paraId="044D8DD2" w14:textId="77777777" w:rsidR="006E2105" w:rsidRPr="00102D22" w:rsidRDefault="006E2105" w:rsidP="00AD7C5F">
            <w:pPr>
              <w:rPr>
                <w:rFonts w:cs="Arial"/>
                <w:b/>
              </w:rPr>
            </w:pPr>
            <w:r w:rsidRPr="00102D22">
              <w:rPr>
                <w:rFonts w:cs="Arial"/>
                <w:b/>
              </w:rPr>
              <w:t>Guidance</w:t>
            </w:r>
          </w:p>
        </w:tc>
        <w:tc>
          <w:tcPr>
            <w:tcW w:w="6771" w:type="dxa"/>
            <w:shd w:val="clear" w:color="auto" w:fill="DDDECE"/>
            <w:vAlign w:val="center"/>
          </w:tcPr>
          <w:p w14:paraId="044D8DD3" w14:textId="77777777" w:rsidR="006E2105" w:rsidRPr="00102D22" w:rsidRDefault="006E2105" w:rsidP="00AD7C5F">
            <w:pPr>
              <w:rPr>
                <w:rFonts w:cs="Arial"/>
                <w:b/>
              </w:rPr>
            </w:pPr>
            <w:r w:rsidRPr="00102D22">
              <w:rPr>
                <w:rFonts w:cs="Arial"/>
                <w:b/>
              </w:rPr>
              <w:t>Section</w:t>
            </w:r>
          </w:p>
        </w:tc>
      </w:tr>
      <w:tr w:rsidR="006E2105" w:rsidRPr="00102D22" w14:paraId="044D8DD7" w14:textId="77777777" w:rsidTr="00AD7C5F">
        <w:tc>
          <w:tcPr>
            <w:tcW w:w="3425" w:type="dxa"/>
          </w:tcPr>
          <w:p w14:paraId="044D8DD5" w14:textId="77777777" w:rsidR="006E2105" w:rsidRPr="00102D22" w:rsidRDefault="006E2105" w:rsidP="00AD7C5F">
            <w:pPr>
              <w:rPr>
                <w:rFonts w:cs="Arial"/>
              </w:rPr>
            </w:pPr>
            <w:r w:rsidRPr="00102D22">
              <w:rPr>
                <w:rFonts w:cs="Arial"/>
              </w:rPr>
              <w:t>ISO27001:2013</w:t>
            </w:r>
          </w:p>
        </w:tc>
        <w:tc>
          <w:tcPr>
            <w:tcW w:w="6771" w:type="dxa"/>
          </w:tcPr>
          <w:p w14:paraId="044D8DD6" w14:textId="77777777" w:rsidR="006E2105" w:rsidRPr="00102D22" w:rsidRDefault="006E2105" w:rsidP="00AD7C5F">
            <w:pPr>
              <w:rPr>
                <w:rFonts w:cs="Arial"/>
              </w:rPr>
            </w:pPr>
            <w:r w:rsidRPr="00102D22">
              <w:rPr>
                <w:rFonts w:cs="Arial"/>
              </w:rPr>
              <w:t>A.18 (A.18.1, A.18.2)</w:t>
            </w:r>
          </w:p>
        </w:tc>
      </w:tr>
      <w:tr w:rsidR="006E2105" w:rsidRPr="00102D22" w14:paraId="044D8DDA" w14:textId="77777777" w:rsidTr="00AD7C5F">
        <w:tc>
          <w:tcPr>
            <w:tcW w:w="3425" w:type="dxa"/>
          </w:tcPr>
          <w:p w14:paraId="044D8DD8" w14:textId="77777777" w:rsidR="006E2105" w:rsidRPr="00102D22" w:rsidRDefault="006E2105" w:rsidP="00AD7C5F">
            <w:pPr>
              <w:rPr>
                <w:rFonts w:cs="Arial"/>
              </w:rPr>
            </w:pPr>
            <w:r w:rsidRPr="00102D22">
              <w:rPr>
                <w:rFonts w:cs="Arial"/>
              </w:rPr>
              <w:t>NIST SP 800-53 v4</w:t>
            </w:r>
          </w:p>
        </w:tc>
        <w:tc>
          <w:tcPr>
            <w:tcW w:w="6771" w:type="dxa"/>
          </w:tcPr>
          <w:p w14:paraId="044D8DD9" w14:textId="77777777" w:rsidR="006E2105" w:rsidRPr="00102D22" w:rsidRDefault="006E2105" w:rsidP="00AD7C5F">
            <w:pPr>
              <w:rPr>
                <w:rFonts w:cs="Arial"/>
              </w:rPr>
            </w:pPr>
            <w:r w:rsidRPr="00102D22">
              <w:rPr>
                <w:rFonts w:cs="Arial"/>
              </w:rPr>
              <w:t>XX-1 controls, CM-10, AC-3, AU-9, AU-11, CP-9, MP-4, SA-5, SI-12, Appendix J Privacy Controls, SI-12, AC-8, AU-6, CM-11, PL-4, PS-6, PS-8, IA-7, SC-13, CA-2, CA-7, RA-5, AU-1, AU-2, SI-4</w:t>
            </w:r>
          </w:p>
        </w:tc>
      </w:tr>
    </w:tbl>
    <w:p w14:paraId="044D8DDB" w14:textId="77777777" w:rsidR="00E64679" w:rsidRPr="00102D22" w:rsidRDefault="00E64679" w:rsidP="00E64679">
      <w:pPr>
        <w:rPr>
          <w:rFonts w:cs="Arial"/>
        </w:rPr>
      </w:pPr>
    </w:p>
    <w:p w14:paraId="044D8DDC" w14:textId="77777777" w:rsidR="00B502A4" w:rsidRPr="00102D22" w:rsidRDefault="00B502A4" w:rsidP="00B502A4">
      <w:pPr>
        <w:pStyle w:val="Heading1"/>
      </w:pPr>
      <w:r w:rsidRPr="00102D22">
        <w:t>Policy Statements</w:t>
      </w:r>
    </w:p>
    <w:p w14:paraId="044D8DDD" w14:textId="77777777" w:rsidR="00B502A4" w:rsidRPr="00102D22" w:rsidRDefault="00B502A4" w:rsidP="00B502A4">
      <w:pPr>
        <w:rPr>
          <w:rFonts w:cs="Arial"/>
          <w:color w:val="808080"/>
          <w:szCs w:val="20"/>
        </w:rPr>
      </w:pPr>
      <w:r w:rsidRPr="00102D22">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044D8DDE" w14:textId="77777777" w:rsidR="00A04749" w:rsidRPr="00102D22" w:rsidRDefault="00A04749" w:rsidP="00A04749">
      <w:pPr>
        <w:ind w:left="173"/>
        <w:rPr>
          <w:rFonts w:cs="Arial"/>
          <w:sz w:val="24"/>
        </w:rPr>
      </w:pPr>
    </w:p>
    <w:p w14:paraId="044D8DDF" w14:textId="77777777" w:rsidR="006E2105" w:rsidRPr="00102D22" w:rsidRDefault="006E2105" w:rsidP="006E2105">
      <w:pPr>
        <w:pStyle w:val="SoKPolicyThirdLevelContent"/>
        <w:spacing w:after="120"/>
        <w:ind w:left="0"/>
        <w:rPr>
          <w:rFonts w:ascii="Arial" w:hAnsi="Arial" w:cs="Arial"/>
          <w:b/>
          <w:sz w:val="20"/>
        </w:rPr>
      </w:pPr>
      <w:r w:rsidRPr="00102D22">
        <w:rPr>
          <w:rFonts w:ascii="Arial" w:hAnsi="Arial" w:cs="Arial"/>
          <w:b/>
          <w:sz w:val="20"/>
        </w:rPr>
        <w:t xml:space="preserve">Compliance with legal and contractual requirements: </w:t>
      </w:r>
    </w:p>
    <w:p w14:paraId="044D8DE0"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t>All applicable compliance requirements should be identified, documented, and well-maintained.</w:t>
      </w:r>
    </w:p>
    <w:p w14:paraId="044D8DE1"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t>Any intellectual property rights requirements should be implemented and adhered to as necessary.</w:t>
      </w:r>
    </w:p>
    <w:p w14:paraId="044D8DE2"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lastRenderedPageBreak/>
        <w:t>Records will be properly managed to avoid any destruction from natural disasters, unauthorized use, or loss.</w:t>
      </w:r>
    </w:p>
    <w:p w14:paraId="044D8DE3"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t>Personally identifiable information will be properly protected.</w:t>
      </w:r>
    </w:p>
    <w:p w14:paraId="044D8DE4"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t>Any cryptographic controls will be used appropriately according to relevant compliance requirements.</w:t>
      </w:r>
    </w:p>
    <w:p w14:paraId="044D8DE5" w14:textId="77777777" w:rsidR="006E2105" w:rsidRPr="00102D22" w:rsidRDefault="006E2105" w:rsidP="006E2105">
      <w:pPr>
        <w:pStyle w:val="SoKPolicyThirdLevelContent"/>
        <w:spacing w:after="120"/>
        <w:ind w:left="0"/>
        <w:rPr>
          <w:rFonts w:ascii="Arial" w:hAnsi="Arial" w:cs="Arial"/>
          <w:b/>
          <w:sz w:val="20"/>
        </w:rPr>
      </w:pPr>
      <w:r w:rsidRPr="00102D22">
        <w:rPr>
          <w:rFonts w:ascii="Arial" w:hAnsi="Arial" w:cs="Arial"/>
          <w:b/>
          <w:sz w:val="20"/>
        </w:rPr>
        <w:t>Compliance with security policies and standards:</w:t>
      </w:r>
    </w:p>
    <w:p w14:paraId="044D8DE6" w14:textId="77777777" w:rsidR="006E2105" w:rsidRPr="00102D22" w:rsidRDefault="006E2105" w:rsidP="006E2105">
      <w:pPr>
        <w:pStyle w:val="ListParagraph"/>
        <w:numPr>
          <w:ilvl w:val="1"/>
          <w:numId w:val="10"/>
        </w:numPr>
        <w:rPr>
          <w:rFonts w:cs="Arial"/>
          <w:color w:val="000000" w:themeColor="text1"/>
          <w:szCs w:val="20"/>
          <w:lang w:eastAsia="en-CA"/>
        </w:rPr>
      </w:pPr>
      <w:r w:rsidRPr="00102D22">
        <w:rPr>
          <w:rFonts w:cs="Arial"/>
          <w:color w:val="000000" w:themeColor="text1"/>
          <w:szCs w:val="20"/>
          <w:lang w:eastAsia="en-CA"/>
        </w:rPr>
        <w:t xml:space="preserve">At least annually, </w:t>
      </w:r>
      <w:r w:rsidRPr="00102D22">
        <w:rPr>
          <w:rFonts w:cs="Arial"/>
          <w:color w:val="A6A6A6" w:themeColor="background1" w:themeShade="A6"/>
          <w:szCs w:val="20"/>
          <w:lang w:eastAsia="en-CA"/>
        </w:rPr>
        <w:t xml:space="preserve">[insert Company’s name] </w:t>
      </w:r>
      <w:r w:rsidRPr="00102D22">
        <w:rPr>
          <w:rFonts w:cs="Arial"/>
          <w:color w:val="000000" w:themeColor="text1"/>
          <w:szCs w:val="20"/>
          <w:lang w:eastAsia="en-CA"/>
        </w:rPr>
        <w:t>should perform reviews or audits of users’ and systems’ compliance with security policies, standards, and procedures, and initiate corrective actions where necessary.</w:t>
      </w:r>
    </w:p>
    <w:p w14:paraId="044D8DE7" w14:textId="77777777" w:rsidR="006E2105" w:rsidRPr="00102D22" w:rsidRDefault="006E2105" w:rsidP="006E2105">
      <w:pPr>
        <w:pStyle w:val="SoKPolicyThirdLevelContent"/>
        <w:numPr>
          <w:ilvl w:val="1"/>
          <w:numId w:val="10"/>
        </w:numPr>
        <w:spacing w:after="120"/>
        <w:rPr>
          <w:rFonts w:ascii="Arial" w:hAnsi="Arial" w:cs="Arial"/>
          <w:color w:val="000000" w:themeColor="text1"/>
          <w:sz w:val="20"/>
        </w:rPr>
      </w:pPr>
      <w:r w:rsidRPr="00102D22">
        <w:rPr>
          <w:rFonts w:ascii="Arial" w:hAnsi="Arial" w:cs="Arial"/>
          <w:color w:val="000000" w:themeColor="text1"/>
          <w:sz w:val="20"/>
        </w:rPr>
        <w:t xml:space="preserve">Results from compliance reviews or audits shall be documented and reported by </w:t>
      </w:r>
      <w:r w:rsidRPr="00102D22">
        <w:rPr>
          <w:rFonts w:ascii="Arial" w:hAnsi="Arial" w:cs="Arial"/>
          <w:color w:val="A6A6A6" w:themeColor="background1" w:themeShade="A6"/>
          <w:sz w:val="20"/>
        </w:rPr>
        <w:t xml:space="preserve">[insert Company’s name] </w:t>
      </w:r>
      <w:r w:rsidRPr="00102D22">
        <w:rPr>
          <w:rFonts w:ascii="Arial" w:hAnsi="Arial" w:cs="Arial"/>
          <w:color w:val="000000" w:themeColor="text1"/>
          <w:sz w:val="20"/>
        </w:rPr>
        <w:t>leadership.</w:t>
      </w:r>
    </w:p>
    <w:p w14:paraId="044D8DE8" w14:textId="77777777" w:rsidR="006E2105" w:rsidRPr="00102D22" w:rsidRDefault="006E2105" w:rsidP="006E2105">
      <w:pPr>
        <w:pStyle w:val="SoKPolicyThirdLevelContent"/>
        <w:tabs>
          <w:tab w:val="left" w:pos="2985"/>
        </w:tabs>
        <w:spacing w:after="120"/>
        <w:ind w:left="0"/>
        <w:rPr>
          <w:rFonts w:ascii="Arial" w:hAnsi="Arial" w:cs="Arial"/>
          <w:b/>
          <w:sz w:val="20"/>
        </w:rPr>
      </w:pPr>
      <w:r w:rsidRPr="00102D22">
        <w:rPr>
          <w:rFonts w:ascii="Arial" w:hAnsi="Arial" w:cs="Arial"/>
          <w:b/>
          <w:sz w:val="20"/>
        </w:rPr>
        <w:t>Information system audit considerations:</w:t>
      </w:r>
    </w:p>
    <w:p w14:paraId="044D8DE9" w14:textId="77777777" w:rsidR="006E2105" w:rsidRPr="00102D22" w:rsidRDefault="006E2105" w:rsidP="006E2105">
      <w:pPr>
        <w:pStyle w:val="ListParagraph"/>
        <w:numPr>
          <w:ilvl w:val="1"/>
          <w:numId w:val="10"/>
        </w:numPr>
        <w:rPr>
          <w:rFonts w:cs="Arial"/>
          <w:color w:val="000000" w:themeColor="text1"/>
          <w:szCs w:val="20"/>
          <w:lang w:eastAsia="en-CA"/>
        </w:rPr>
      </w:pPr>
      <w:r w:rsidRPr="00102D22">
        <w:rPr>
          <w:rFonts w:cs="Arial"/>
          <w:color w:val="A6A6A6" w:themeColor="background1" w:themeShade="A6"/>
          <w:szCs w:val="20"/>
          <w:lang w:eastAsia="en-CA"/>
        </w:rPr>
        <w:t xml:space="preserve">[Insert Company’s name] </w:t>
      </w:r>
      <w:r w:rsidRPr="00102D22">
        <w:rPr>
          <w:rFonts w:cs="Arial"/>
        </w:rPr>
        <w:t>should</w:t>
      </w:r>
      <w:r w:rsidRPr="00102D22">
        <w:rPr>
          <w:rFonts w:cs="Arial"/>
          <w:color w:val="000000" w:themeColor="text1"/>
          <w:szCs w:val="20"/>
          <w:lang w:eastAsia="en-CA"/>
        </w:rPr>
        <w:t xml:space="preserve"> implement audit procedures to help ensure that activities involving reviews or audits of operational systems are carefully planned to minimize the risk of disruptions to business processes.</w:t>
      </w:r>
    </w:p>
    <w:p w14:paraId="044D8DEA" w14:textId="77777777" w:rsidR="006E2105" w:rsidRPr="00102D22" w:rsidRDefault="006E2105" w:rsidP="006E2105">
      <w:pPr>
        <w:pStyle w:val="ListParagraph"/>
        <w:numPr>
          <w:ilvl w:val="1"/>
          <w:numId w:val="10"/>
        </w:numPr>
        <w:rPr>
          <w:rFonts w:cs="Arial"/>
        </w:rPr>
      </w:pPr>
      <w:r w:rsidRPr="00102D22">
        <w:rPr>
          <w:rFonts w:cs="Arial"/>
          <w:color w:val="A6A6A6" w:themeColor="background1" w:themeShade="A6"/>
        </w:rPr>
        <w:t>[Agency]</w:t>
      </w:r>
      <w:r w:rsidRPr="00102D22">
        <w:rPr>
          <w:rFonts w:cs="Arial"/>
        </w:rPr>
        <w:t xml:space="preserve"> shall implement security controls to help prevent unauthorized access and/or access abuse of audit tools.</w:t>
      </w:r>
    </w:p>
    <w:p w14:paraId="044D8DEB" w14:textId="77777777" w:rsidR="006E2105" w:rsidRPr="00102D22" w:rsidRDefault="006E2105" w:rsidP="006E2105">
      <w:pPr>
        <w:pStyle w:val="ListParagraph"/>
        <w:numPr>
          <w:ilvl w:val="1"/>
          <w:numId w:val="10"/>
        </w:numPr>
        <w:rPr>
          <w:rFonts w:cs="Arial"/>
        </w:rPr>
      </w:pPr>
      <w:r w:rsidRPr="00102D22">
        <w:rPr>
          <w:rFonts w:cs="Arial"/>
          <w:color w:val="A6A6A6" w:themeColor="background1" w:themeShade="A6"/>
          <w:szCs w:val="20"/>
          <w:lang w:eastAsia="en-CA"/>
        </w:rPr>
        <w:t xml:space="preserve">[Insert Company’s name] </w:t>
      </w:r>
      <w:r w:rsidRPr="00102D22">
        <w:rPr>
          <w:rFonts w:cs="Arial"/>
        </w:rPr>
        <w:t>information systems should be enabled to generate audit records containing details to help establish what type of event occurred, when and where the event occurred, the source and outcome of the event, and the identity of any individuals or subjects associated with the event.</w:t>
      </w:r>
    </w:p>
    <w:p w14:paraId="044D8DEC" w14:textId="77777777" w:rsidR="006E2105" w:rsidRPr="00102D22" w:rsidRDefault="006E2105" w:rsidP="006E2105">
      <w:pPr>
        <w:pStyle w:val="ListParagraph"/>
        <w:numPr>
          <w:ilvl w:val="1"/>
          <w:numId w:val="10"/>
        </w:numPr>
        <w:rPr>
          <w:rFonts w:cs="Arial"/>
        </w:rPr>
      </w:pPr>
      <w:r w:rsidRPr="00102D22">
        <w:rPr>
          <w:rFonts w:cs="Arial"/>
          <w:color w:val="A6A6A6" w:themeColor="background1" w:themeShade="A6"/>
          <w:szCs w:val="20"/>
          <w:lang w:eastAsia="en-CA"/>
        </w:rPr>
        <w:t xml:space="preserve">[Insert Company’s name] </w:t>
      </w:r>
      <w:r w:rsidRPr="00102D22">
        <w:rPr>
          <w:rFonts w:cs="Arial"/>
        </w:rPr>
        <w:t xml:space="preserve">should report findings of audit records reviews to information security personnel and </w:t>
      </w:r>
      <w:r w:rsidRPr="00102D22">
        <w:rPr>
          <w:rFonts w:cs="Arial"/>
          <w:color w:val="A6A6A6" w:themeColor="background1" w:themeShade="A6"/>
        </w:rPr>
        <w:t xml:space="preserve">[Agency] </w:t>
      </w:r>
      <w:r w:rsidRPr="00102D22">
        <w:rPr>
          <w:rFonts w:cs="Arial"/>
        </w:rPr>
        <w:t>leadership.</w:t>
      </w:r>
    </w:p>
    <w:p w14:paraId="044D8DED" w14:textId="77777777" w:rsidR="006E2105" w:rsidRPr="00102D22" w:rsidRDefault="006E2105" w:rsidP="006E2105">
      <w:pPr>
        <w:pStyle w:val="SoKPolicyThirdLevelContent"/>
        <w:tabs>
          <w:tab w:val="left" w:pos="2985"/>
        </w:tabs>
        <w:spacing w:after="120"/>
        <w:ind w:left="0"/>
        <w:rPr>
          <w:rFonts w:ascii="Arial" w:hAnsi="Arial" w:cs="Arial"/>
          <w:b/>
          <w:sz w:val="20"/>
        </w:rPr>
      </w:pPr>
    </w:p>
    <w:p w14:paraId="044D8DEE" w14:textId="77777777" w:rsidR="006E2105" w:rsidRPr="00102D22" w:rsidRDefault="006E2105" w:rsidP="006E2105">
      <w:pPr>
        <w:pStyle w:val="SoKPolicyThirdLevelContent"/>
        <w:tabs>
          <w:tab w:val="left" w:pos="2985"/>
        </w:tabs>
        <w:spacing w:after="120"/>
        <w:ind w:left="0"/>
        <w:rPr>
          <w:rFonts w:ascii="Arial" w:hAnsi="Arial" w:cs="Arial"/>
          <w:b/>
          <w:color w:val="000000"/>
          <w:sz w:val="20"/>
        </w:rPr>
      </w:pPr>
      <w:r w:rsidRPr="00102D22">
        <w:rPr>
          <w:rFonts w:ascii="Arial" w:hAnsi="Arial" w:cs="Arial"/>
          <w:b/>
          <w:color w:val="000000"/>
          <w:sz w:val="20"/>
        </w:rPr>
        <w:t xml:space="preserve">Information security reviews and continuous improvements: </w:t>
      </w:r>
      <w:r w:rsidRPr="00102D22">
        <w:rPr>
          <w:rFonts w:ascii="Arial" w:hAnsi="Arial" w:cs="Arial"/>
          <w:b/>
          <w:color w:val="000000"/>
          <w:sz w:val="20"/>
        </w:rPr>
        <w:tab/>
      </w:r>
    </w:p>
    <w:p w14:paraId="044D8DEF" w14:textId="77777777" w:rsidR="006E2105" w:rsidRPr="00102D22" w:rsidRDefault="006E2105" w:rsidP="006E2105">
      <w:pPr>
        <w:pStyle w:val="SoKPolicyThirdLevelContent"/>
        <w:numPr>
          <w:ilvl w:val="0"/>
          <w:numId w:val="11"/>
        </w:numPr>
        <w:tabs>
          <w:tab w:val="left" w:pos="2985"/>
        </w:tabs>
        <w:spacing w:after="120"/>
        <w:rPr>
          <w:rFonts w:ascii="Arial" w:hAnsi="Arial" w:cs="Arial"/>
          <w:color w:val="000000"/>
          <w:sz w:val="20"/>
        </w:rPr>
      </w:pPr>
      <w:r w:rsidRPr="00102D22">
        <w:rPr>
          <w:rFonts w:ascii="Arial" w:hAnsi="Arial" w:cs="Arial"/>
          <w:color w:val="A6A6A6" w:themeColor="background1" w:themeShade="A6"/>
          <w:sz w:val="20"/>
        </w:rPr>
        <w:t xml:space="preserve">[Insert Company’s name] </w:t>
      </w:r>
      <w:r w:rsidRPr="00102D22">
        <w:rPr>
          <w:rFonts w:ascii="Arial" w:hAnsi="Arial" w:cs="Arial"/>
          <w:color w:val="000000"/>
          <w:sz w:val="20"/>
        </w:rPr>
        <w:t>will conduct an independent review of its information security practices, controls, policies, etc.</w:t>
      </w:r>
    </w:p>
    <w:p w14:paraId="044D8DF0" w14:textId="77777777" w:rsidR="006E2105" w:rsidRPr="00102D22" w:rsidRDefault="006E2105" w:rsidP="006E2105">
      <w:pPr>
        <w:pStyle w:val="SoKPolicyThirdLevelContent"/>
        <w:numPr>
          <w:ilvl w:val="0"/>
          <w:numId w:val="11"/>
        </w:numPr>
        <w:tabs>
          <w:tab w:val="left" w:pos="2985"/>
        </w:tabs>
        <w:spacing w:after="120"/>
        <w:rPr>
          <w:rFonts w:ascii="Arial" w:hAnsi="Arial" w:cs="Arial"/>
          <w:color w:val="000000"/>
          <w:sz w:val="20"/>
        </w:rPr>
      </w:pPr>
      <w:r w:rsidRPr="00102D22">
        <w:rPr>
          <w:rFonts w:ascii="Arial" w:hAnsi="Arial" w:cs="Arial"/>
          <w:color w:val="000000"/>
          <w:sz w:val="20"/>
        </w:rPr>
        <w:t>Management team is responsible for regular reviews of their compliance with information security policies and procedures.</w:t>
      </w:r>
    </w:p>
    <w:p w14:paraId="044D8DF1" w14:textId="77777777" w:rsidR="006E2105" w:rsidRPr="00102D22" w:rsidRDefault="006E2105" w:rsidP="006E2105">
      <w:pPr>
        <w:pStyle w:val="SoKPolicyThirdLevelContent"/>
        <w:numPr>
          <w:ilvl w:val="0"/>
          <w:numId w:val="11"/>
        </w:numPr>
        <w:tabs>
          <w:tab w:val="left" w:pos="2985"/>
        </w:tabs>
        <w:spacing w:after="120"/>
        <w:rPr>
          <w:rFonts w:ascii="Arial" w:hAnsi="Arial" w:cs="Arial"/>
          <w:color w:val="000000"/>
          <w:sz w:val="20"/>
        </w:rPr>
      </w:pPr>
      <w:r w:rsidRPr="00102D22">
        <w:rPr>
          <w:rFonts w:ascii="Arial" w:hAnsi="Arial" w:cs="Arial"/>
          <w:color w:val="000000"/>
          <w:sz w:val="20"/>
        </w:rPr>
        <w:t>A technical review of information systems will be conducted regularly.</w:t>
      </w:r>
    </w:p>
    <w:p w14:paraId="044D8DF2" w14:textId="7FC9911A" w:rsidR="006E2105" w:rsidRPr="00102D22" w:rsidRDefault="006E2105" w:rsidP="006E2105">
      <w:pPr>
        <w:pStyle w:val="SoKPolicyThirdLevelContent"/>
        <w:numPr>
          <w:ilvl w:val="0"/>
          <w:numId w:val="11"/>
        </w:numPr>
        <w:tabs>
          <w:tab w:val="left" w:pos="2985"/>
        </w:tabs>
        <w:spacing w:after="120"/>
        <w:rPr>
          <w:rFonts w:ascii="Arial" w:hAnsi="Arial" w:cs="Arial"/>
          <w:color w:val="000000"/>
          <w:sz w:val="20"/>
        </w:rPr>
      </w:pPr>
      <w:r w:rsidRPr="00102D22">
        <w:rPr>
          <w:rFonts w:ascii="Arial" w:hAnsi="Arial" w:cs="Arial"/>
          <w:color w:val="A6A6A6" w:themeColor="background1" w:themeShade="A6"/>
          <w:sz w:val="20"/>
        </w:rPr>
        <w:t xml:space="preserve">[Insert Company’s name] </w:t>
      </w:r>
      <w:r w:rsidRPr="00102D22">
        <w:rPr>
          <w:rFonts w:ascii="Arial" w:eastAsia="Calibri" w:hAnsi="Arial" w:cs="Arial"/>
          <w:sz w:val="20"/>
          <w:lang w:eastAsia="en-US"/>
        </w:rPr>
        <w:t>shou</w:t>
      </w:r>
      <w:r w:rsidRPr="00102D22">
        <w:rPr>
          <w:rFonts w:ascii="Arial" w:eastAsia="Calibri" w:hAnsi="Arial" w:cs="Arial"/>
          <w:sz w:val="20"/>
          <w:szCs w:val="24"/>
          <w:lang w:eastAsia="en-US"/>
        </w:rPr>
        <w:t>ld develop a plan of action and milestones to document planned remedial actions to correct weaknesses or deficiencies identified as</w:t>
      </w:r>
      <w:r w:rsidR="00C12195">
        <w:rPr>
          <w:rFonts w:ascii="Arial" w:eastAsia="Calibri" w:hAnsi="Arial" w:cs="Arial"/>
          <w:sz w:val="20"/>
          <w:szCs w:val="24"/>
          <w:lang w:eastAsia="en-US"/>
        </w:rPr>
        <w:t xml:space="preserve"> a</w:t>
      </w:r>
      <w:r w:rsidRPr="00102D22">
        <w:rPr>
          <w:rFonts w:ascii="Arial" w:eastAsia="Calibri" w:hAnsi="Arial" w:cs="Arial"/>
          <w:sz w:val="20"/>
          <w:szCs w:val="24"/>
          <w:lang w:eastAsia="en-US"/>
        </w:rPr>
        <w:t xml:space="preserve"> result of internal/external risk assessments, security reviews, and/or audits.</w:t>
      </w:r>
    </w:p>
    <w:p w14:paraId="044D8DF3" w14:textId="77777777" w:rsidR="00A04749" w:rsidRPr="00102D22" w:rsidRDefault="00A04749" w:rsidP="00A04749">
      <w:pPr>
        <w:ind w:left="173"/>
        <w:rPr>
          <w:rFonts w:cs="Arial"/>
          <w:sz w:val="24"/>
        </w:rPr>
      </w:pPr>
    </w:p>
    <w:p w14:paraId="044D8DF4" w14:textId="77777777" w:rsidR="00A04749" w:rsidRPr="00102D22" w:rsidRDefault="00A04749" w:rsidP="00A04749">
      <w:pPr>
        <w:ind w:left="173"/>
        <w:rPr>
          <w:rFonts w:cs="Arial"/>
          <w:sz w:val="24"/>
        </w:rPr>
      </w:pPr>
    </w:p>
    <w:p w14:paraId="044D8DF5" w14:textId="77777777" w:rsidR="00A04749" w:rsidRPr="00C12195" w:rsidRDefault="00A04749" w:rsidP="00A04749">
      <w:pPr>
        <w:spacing w:before="180"/>
        <w:rPr>
          <w:rFonts w:cs="Arial"/>
          <w:b/>
          <w:sz w:val="32"/>
          <w:szCs w:val="32"/>
        </w:rPr>
      </w:pPr>
      <w:r w:rsidRPr="00C12195">
        <w:rPr>
          <w:rFonts w:cs="Arial"/>
          <w:b/>
          <w:sz w:val="32"/>
          <w:szCs w:val="32"/>
        </w:rPr>
        <w:t>Relevant Procedures</w:t>
      </w:r>
    </w:p>
    <w:p w14:paraId="044D8DF8" w14:textId="6D0ED26C" w:rsidR="00AA6841" w:rsidRPr="00C12195" w:rsidRDefault="00A04749" w:rsidP="00C12195">
      <w:pPr>
        <w:spacing w:before="180"/>
        <w:rPr>
          <w:rFonts w:cs="Arial"/>
          <w:color w:val="808080" w:themeColor="background1" w:themeShade="80"/>
          <w:szCs w:val="20"/>
        </w:rPr>
      </w:pPr>
      <w:r w:rsidRPr="00102D22">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44D8DF9" w14:textId="77777777" w:rsidR="00B502A4" w:rsidRPr="00102D22" w:rsidRDefault="00B502A4" w:rsidP="00B502A4">
      <w:pPr>
        <w:pStyle w:val="Heading1"/>
      </w:pPr>
      <w:r w:rsidRPr="00102D22">
        <w:t>Non-Compliance</w:t>
      </w:r>
    </w:p>
    <w:p w14:paraId="044D8DFA" w14:textId="77777777" w:rsidR="00AA6841" w:rsidRPr="00102D22" w:rsidRDefault="00AA6841" w:rsidP="00AA6841">
      <w:pPr>
        <w:rPr>
          <w:rFonts w:cs="Arial"/>
          <w:color w:val="808080"/>
        </w:rPr>
      </w:pPr>
      <w:r w:rsidRPr="00102D22">
        <w:rPr>
          <w:rFonts w:cs="Arial"/>
          <w:color w:val="808080"/>
        </w:rPr>
        <w:t>Clearly describe consequences (legal and/or disciplinary) for employee non-compliance with the policy. It may be pertinent to describe the escalation process for repeated non-compliance.</w:t>
      </w:r>
    </w:p>
    <w:p w14:paraId="044D8DFB" w14:textId="77777777" w:rsidR="00B502A4" w:rsidRPr="00102D22" w:rsidRDefault="00B502A4" w:rsidP="00E64679">
      <w:pPr>
        <w:rPr>
          <w:rFonts w:cs="Arial"/>
        </w:rPr>
      </w:pPr>
    </w:p>
    <w:p w14:paraId="044D8DFC" w14:textId="4BA02213" w:rsidR="00AA6841" w:rsidRPr="00102D22" w:rsidRDefault="00AA6841" w:rsidP="00AA6841">
      <w:pPr>
        <w:rPr>
          <w:rFonts w:cs="Arial"/>
          <w:color w:val="000000" w:themeColor="text1"/>
        </w:rPr>
      </w:pPr>
      <w:r w:rsidRPr="00102D22">
        <w:rPr>
          <w:rFonts w:cs="Arial"/>
          <w:color w:val="000000" w:themeColor="text1"/>
        </w:rPr>
        <w:t xml:space="preserve">Violations of this policy will be treated like other allegations of wrongdoing at </w:t>
      </w:r>
      <w:r w:rsidRPr="00102D22">
        <w:rPr>
          <w:rFonts w:cs="Arial"/>
          <w:color w:val="A6A6A6" w:themeColor="background1" w:themeShade="A6"/>
        </w:rPr>
        <w:t>[</w:t>
      </w:r>
      <w:r w:rsidR="006046E4">
        <w:rPr>
          <w:rFonts w:cs="Arial"/>
          <w:color w:val="A6A6A6" w:themeColor="background1" w:themeShade="A6"/>
        </w:rPr>
        <w:t>Company Name</w:t>
      </w:r>
      <w:r w:rsidRPr="00102D22">
        <w:rPr>
          <w:rFonts w:cs="Arial"/>
          <w:color w:val="A6A6A6" w:themeColor="background1" w:themeShade="A6"/>
        </w:rPr>
        <w:t>]</w:t>
      </w:r>
      <w:r w:rsidRPr="00102D22">
        <w:rPr>
          <w:rFonts w:cs="Arial"/>
          <w:color w:val="000000" w:themeColor="text1"/>
        </w:rPr>
        <w:t>. Allegations of misconduct will be adjudicated according to established procedures. Sanctions for non-compliance may include, but are not limited to, one or more of the following:</w:t>
      </w:r>
    </w:p>
    <w:p w14:paraId="044D8DFD" w14:textId="77777777" w:rsidR="00AA6841" w:rsidRPr="00102D22" w:rsidRDefault="00AA6841" w:rsidP="00AA6841">
      <w:pPr>
        <w:rPr>
          <w:rFonts w:cs="Arial"/>
          <w:color w:val="000000" w:themeColor="text1"/>
        </w:rPr>
      </w:pPr>
    </w:p>
    <w:p w14:paraId="044D8DFE" w14:textId="3F7BFFE6" w:rsidR="00AA6841" w:rsidRPr="00102D22" w:rsidRDefault="00AA6841" w:rsidP="00AA6841">
      <w:pPr>
        <w:pStyle w:val="ListNumber2"/>
        <w:rPr>
          <w:rFonts w:cs="Arial"/>
          <w:color w:val="000000" w:themeColor="text1"/>
        </w:rPr>
      </w:pPr>
      <w:r w:rsidRPr="00102D22">
        <w:rPr>
          <w:rFonts w:cs="Arial"/>
          <w:color w:val="000000" w:themeColor="text1"/>
        </w:rPr>
        <w:t xml:space="preserve">Disciplinary action according to applicable </w:t>
      </w:r>
      <w:r w:rsidRPr="00102D22">
        <w:rPr>
          <w:rFonts w:cs="Arial"/>
          <w:color w:val="A6A6A6" w:themeColor="background1" w:themeShade="A6"/>
        </w:rPr>
        <w:t>[</w:t>
      </w:r>
      <w:r w:rsidR="006046E4">
        <w:rPr>
          <w:rFonts w:cs="Arial"/>
          <w:color w:val="A6A6A6" w:themeColor="background1" w:themeShade="A6"/>
        </w:rPr>
        <w:t>Company Name</w:t>
      </w:r>
      <w:r w:rsidRPr="00102D22">
        <w:rPr>
          <w:rFonts w:cs="Arial"/>
          <w:color w:val="A6A6A6" w:themeColor="background1" w:themeShade="A6"/>
        </w:rPr>
        <w:t xml:space="preserve">] </w:t>
      </w:r>
      <w:r w:rsidRPr="00102D22">
        <w:rPr>
          <w:rFonts w:cs="Arial"/>
          <w:color w:val="000000" w:themeColor="text1"/>
        </w:rPr>
        <w:t xml:space="preserve">policies; </w:t>
      </w:r>
    </w:p>
    <w:p w14:paraId="044D8DFF" w14:textId="77777777" w:rsidR="00AA6841" w:rsidRPr="00102D22" w:rsidRDefault="00AA6841" w:rsidP="00AA6841">
      <w:pPr>
        <w:pStyle w:val="ListNumber2"/>
        <w:rPr>
          <w:rFonts w:cs="Arial"/>
          <w:color w:val="000000" w:themeColor="text1"/>
        </w:rPr>
      </w:pPr>
      <w:r w:rsidRPr="00102D22">
        <w:rPr>
          <w:rFonts w:cs="Arial"/>
          <w:color w:val="000000" w:themeColor="text1"/>
        </w:rPr>
        <w:lastRenderedPageBreak/>
        <w:t>Termination of employment; and/or</w:t>
      </w:r>
    </w:p>
    <w:p w14:paraId="044D8E01" w14:textId="465111ED" w:rsidR="00AA6841" w:rsidRPr="00C12195" w:rsidRDefault="00AA6841" w:rsidP="00E64679">
      <w:pPr>
        <w:pStyle w:val="ListNumber2"/>
        <w:rPr>
          <w:rFonts w:cs="Arial"/>
          <w:color w:val="000000" w:themeColor="text1"/>
        </w:rPr>
      </w:pPr>
      <w:r w:rsidRPr="00102D22">
        <w:rPr>
          <w:rFonts w:cs="Arial"/>
          <w:color w:val="000000" w:themeColor="text1"/>
        </w:rPr>
        <w:t>Legal action according to applicable laws and contractual agreements.</w:t>
      </w:r>
    </w:p>
    <w:p w14:paraId="044D8E0F" w14:textId="77777777" w:rsidR="00B502A4" w:rsidRPr="00102D22" w:rsidRDefault="00B502A4">
      <w:pPr>
        <w:rPr>
          <w:rFonts w:cs="Arial"/>
          <w:color w:val="808080"/>
        </w:rPr>
      </w:pPr>
    </w:p>
    <w:p w14:paraId="044D8E10" w14:textId="77777777" w:rsidR="00B502A4" w:rsidRPr="00102D22" w:rsidRDefault="00B502A4" w:rsidP="00B502A4">
      <w:pPr>
        <w:pStyle w:val="Heading1"/>
      </w:pPr>
      <w:r w:rsidRPr="00102D22">
        <w:t>Revision History</w:t>
      </w:r>
    </w:p>
    <w:p w14:paraId="044D8E11" w14:textId="77777777" w:rsidR="00AA6841" w:rsidRPr="00102D22"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102D22" w14:paraId="044D8E16" w14:textId="77777777" w:rsidTr="00B502A4">
        <w:tc>
          <w:tcPr>
            <w:tcW w:w="1809" w:type="dxa"/>
            <w:shd w:val="clear" w:color="auto" w:fill="DDDECE"/>
          </w:tcPr>
          <w:p w14:paraId="044D8E12" w14:textId="77777777" w:rsidR="00B502A4" w:rsidRPr="00102D22" w:rsidRDefault="00B502A4" w:rsidP="00095326">
            <w:pPr>
              <w:jc w:val="center"/>
              <w:rPr>
                <w:rFonts w:cs="Arial"/>
                <w:b/>
              </w:rPr>
            </w:pPr>
            <w:r w:rsidRPr="00102D22">
              <w:rPr>
                <w:rFonts w:cs="Arial"/>
                <w:b/>
              </w:rPr>
              <w:t>Version ID</w:t>
            </w:r>
          </w:p>
        </w:tc>
        <w:tc>
          <w:tcPr>
            <w:tcW w:w="1701" w:type="dxa"/>
            <w:shd w:val="clear" w:color="auto" w:fill="DDDECE"/>
          </w:tcPr>
          <w:p w14:paraId="044D8E13" w14:textId="77777777" w:rsidR="00B502A4" w:rsidRPr="00102D22" w:rsidRDefault="00B502A4" w:rsidP="00095326">
            <w:pPr>
              <w:jc w:val="center"/>
              <w:rPr>
                <w:rFonts w:cs="Arial"/>
                <w:b/>
              </w:rPr>
            </w:pPr>
            <w:r w:rsidRPr="00102D22">
              <w:rPr>
                <w:rFonts w:cs="Arial"/>
                <w:b/>
              </w:rPr>
              <w:t>Date of Change</w:t>
            </w:r>
          </w:p>
        </w:tc>
        <w:tc>
          <w:tcPr>
            <w:tcW w:w="4204" w:type="dxa"/>
            <w:shd w:val="clear" w:color="auto" w:fill="DDDECE"/>
          </w:tcPr>
          <w:p w14:paraId="044D8E14" w14:textId="77777777" w:rsidR="00B502A4" w:rsidRPr="00102D22" w:rsidRDefault="00B502A4" w:rsidP="00095326">
            <w:pPr>
              <w:jc w:val="center"/>
              <w:rPr>
                <w:rFonts w:cs="Arial"/>
                <w:b/>
              </w:rPr>
            </w:pPr>
            <w:r w:rsidRPr="00102D22">
              <w:rPr>
                <w:rFonts w:cs="Arial"/>
                <w:b/>
              </w:rPr>
              <w:t>Author</w:t>
            </w:r>
          </w:p>
        </w:tc>
        <w:tc>
          <w:tcPr>
            <w:tcW w:w="2576" w:type="dxa"/>
            <w:shd w:val="clear" w:color="auto" w:fill="DDDECE"/>
          </w:tcPr>
          <w:p w14:paraId="044D8E15" w14:textId="77777777" w:rsidR="00B502A4" w:rsidRPr="00102D22" w:rsidRDefault="00B502A4" w:rsidP="00095326">
            <w:pPr>
              <w:jc w:val="center"/>
              <w:rPr>
                <w:rFonts w:cs="Arial"/>
                <w:b/>
              </w:rPr>
            </w:pPr>
            <w:r w:rsidRPr="00102D22">
              <w:rPr>
                <w:rFonts w:cs="Arial"/>
                <w:b/>
              </w:rPr>
              <w:t>Rationale</w:t>
            </w:r>
          </w:p>
        </w:tc>
      </w:tr>
      <w:tr w:rsidR="00B502A4" w:rsidRPr="00102D22" w14:paraId="044D8E1B" w14:textId="77777777" w:rsidTr="00B502A4">
        <w:tc>
          <w:tcPr>
            <w:tcW w:w="1809" w:type="dxa"/>
            <w:shd w:val="clear" w:color="auto" w:fill="auto"/>
          </w:tcPr>
          <w:p w14:paraId="044D8E17" w14:textId="77777777" w:rsidR="00B502A4" w:rsidRPr="00102D22" w:rsidRDefault="00B502A4" w:rsidP="00095326">
            <w:pPr>
              <w:rPr>
                <w:rFonts w:cs="Arial"/>
              </w:rPr>
            </w:pPr>
          </w:p>
        </w:tc>
        <w:tc>
          <w:tcPr>
            <w:tcW w:w="1701" w:type="dxa"/>
            <w:shd w:val="clear" w:color="auto" w:fill="auto"/>
          </w:tcPr>
          <w:p w14:paraId="044D8E18" w14:textId="77777777" w:rsidR="00B502A4" w:rsidRPr="00102D22" w:rsidRDefault="00B502A4" w:rsidP="00095326">
            <w:pPr>
              <w:rPr>
                <w:rFonts w:cs="Arial"/>
              </w:rPr>
            </w:pPr>
          </w:p>
        </w:tc>
        <w:tc>
          <w:tcPr>
            <w:tcW w:w="4204" w:type="dxa"/>
            <w:shd w:val="clear" w:color="auto" w:fill="auto"/>
          </w:tcPr>
          <w:p w14:paraId="044D8E19" w14:textId="77777777" w:rsidR="00B502A4" w:rsidRPr="00102D22" w:rsidRDefault="00B502A4" w:rsidP="00095326">
            <w:pPr>
              <w:rPr>
                <w:rFonts w:cs="Arial"/>
              </w:rPr>
            </w:pPr>
          </w:p>
        </w:tc>
        <w:tc>
          <w:tcPr>
            <w:tcW w:w="2576" w:type="dxa"/>
            <w:shd w:val="clear" w:color="auto" w:fill="auto"/>
          </w:tcPr>
          <w:p w14:paraId="044D8E1A" w14:textId="77777777" w:rsidR="00B502A4" w:rsidRPr="00102D22" w:rsidRDefault="00B502A4" w:rsidP="00095326">
            <w:pPr>
              <w:rPr>
                <w:rFonts w:cs="Arial"/>
              </w:rPr>
            </w:pPr>
          </w:p>
        </w:tc>
      </w:tr>
      <w:tr w:rsidR="00B502A4" w:rsidRPr="00102D22" w14:paraId="044D8E20" w14:textId="77777777" w:rsidTr="00B502A4">
        <w:tc>
          <w:tcPr>
            <w:tcW w:w="1809" w:type="dxa"/>
            <w:shd w:val="clear" w:color="auto" w:fill="auto"/>
          </w:tcPr>
          <w:p w14:paraId="044D8E1C" w14:textId="77777777" w:rsidR="00B502A4" w:rsidRPr="00102D22" w:rsidRDefault="00B502A4" w:rsidP="00095326">
            <w:pPr>
              <w:rPr>
                <w:rFonts w:cs="Arial"/>
              </w:rPr>
            </w:pPr>
          </w:p>
        </w:tc>
        <w:tc>
          <w:tcPr>
            <w:tcW w:w="1701" w:type="dxa"/>
            <w:shd w:val="clear" w:color="auto" w:fill="auto"/>
          </w:tcPr>
          <w:p w14:paraId="044D8E1D" w14:textId="77777777" w:rsidR="00B502A4" w:rsidRPr="00102D22" w:rsidRDefault="00B502A4" w:rsidP="00095326">
            <w:pPr>
              <w:rPr>
                <w:rFonts w:cs="Arial"/>
              </w:rPr>
            </w:pPr>
          </w:p>
        </w:tc>
        <w:tc>
          <w:tcPr>
            <w:tcW w:w="4204" w:type="dxa"/>
            <w:shd w:val="clear" w:color="auto" w:fill="auto"/>
          </w:tcPr>
          <w:p w14:paraId="044D8E1E" w14:textId="77777777" w:rsidR="00B502A4" w:rsidRPr="00102D22" w:rsidRDefault="00B502A4" w:rsidP="00095326">
            <w:pPr>
              <w:rPr>
                <w:rFonts w:cs="Arial"/>
              </w:rPr>
            </w:pPr>
          </w:p>
        </w:tc>
        <w:tc>
          <w:tcPr>
            <w:tcW w:w="2576" w:type="dxa"/>
            <w:shd w:val="clear" w:color="auto" w:fill="auto"/>
          </w:tcPr>
          <w:p w14:paraId="044D8E1F" w14:textId="77777777" w:rsidR="00B502A4" w:rsidRPr="00102D22" w:rsidRDefault="00B502A4" w:rsidP="00095326">
            <w:pPr>
              <w:rPr>
                <w:rFonts w:cs="Arial"/>
              </w:rPr>
            </w:pPr>
          </w:p>
        </w:tc>
      </w:tr>
      <w:tr w:rsidR="00B502A4" w:rsidRPr="00102D22" w14:paraId="044D8E25" w14:textId="77777777" w:rsidTr="00B502A4">
        <w:tc>
          <w:tcPr>
            <w:tcW w:w="1809" w:type="dxa"/>
            <w:shd w:val="clear" w:color="auto" w:fill="auto"/>
          </w:tcPr>
          <w:p w14:paraId="044D8E21" w14:textId="77777777" w:rsidR="00B502A4" w:rsidRPr="00102D22" w:rsidRDefault="00B502A4" w:rsidP="00095326">
            <w:pPr>
              <w:rPr>
                <w:rFonts w:cs="Arial"/>
              </w:rPr>
            </w:pPr>
          </w:p>
        </w:tc>
        <w:tc>
          <w:tcPr>
            <w:tcW w:w="1701" w:type="dxa"/>
            <w:shd w:val="clear" w:color="auto" w:fill="auto"/>
          </w:tcPr>
          <w:p w14:paraId="044D8E22" w14:textId="77777777" w:rsidR="00B502A4" w:rsidRPr="00102D22" w:rsidRDefault="00B502A4" w:rsidP="00095326">
            <w:pPr>
              <w:rPr>
                <w:rFonts w:cs="Arial"/>
              </w:rPr>
            </w:pPr>
          </w:p>
        </w:tc>
        <w:tc>
          <w:tcPr>
            <w:tcW w:w="4204" w:type="dxa"/>
            <w:shd w:val="clear" w:color="auto" w:fill="auto"/>
          </w:tcPr>
          <w:p w14:paraId="044D8E23" w14:textId="77777777" w:rsidR="00B502A4" w:rsidRPr="00102D22" w:rsidRDefault="00B502A4" w:rsidP="00095326">
            <w:pPr>
              <w:rPr>
                <w:rFonts w:cs="Arial"/>
              </w:rPr>
            </w:pPr>
          </w:p>
        </w:tc>
        <w:tc>
          <w:tcPr>
            <w:tcW w:w="2576" w:type="dxa"/>
            <w:shd w:val="clear" w:color="auto" w:fill="auto"/>
          </w:tcPr>
          <w:p w14:paraId="044D8E24" w14:textId="77777777" w:rsidR="00B502A4" w:rsidRPr="00102D22" w:rsidRDefault="00B502A4" w:rsidP="00095326">
            <w:pPr>
              <w:rPr>
                <w:rFonts w:cs="Arial"/>
              </w:rPr>
            </w:pPr>
          </w:p>
        </w:tc>
      </w:tr>
      <w:tr w:rsidR="00B502A4" w:rsidRPr="00102D22" w14:paraId="044D8E2A" w14:textId="77777777" w:rsidTr="00B502A4">
        <w:tc>
          <w:tcPr>
            <w:tcW w:w="1809" w:type="dxa"/>
            <w:shd w:val="clear" w:color="auto" w:fill="auto"/>
          </w:tcPr>
          <w:p w14:paraId="044D8E26" w14:textId="77777777" w:rsidR="00B502A4" w:rsidRPr="00102D22" w:rsidRDefault="00B502A4" w:rsidP="00095326">
            <w:pPr>
              <w:rPr>
                <w:rFonts w:cs="Arial"/>
              </w:rPr>
            </w:pPr>
          </w:p>
        </w:tc>
        <w:tc>
          <w:tcPr>
            <w:tcW w:w="1701" w:type="dxa"/>
            <w:shd w:val="clear" w:color="auto" w:fill="auto"/>
          </w:tcPr>
          <w:p w14:paraId="044D8E27" w14:textId="77777777" w:rsidR="00B502A4" w:rsidRPr="00102D22" w:rsidRDefault="00B502A4" w:rsidP="00095326">
            <w:pPr>
              <w:rPr>
                <w:rFonts w:cs="Arial"/>
              </w:rPr>
            </w:pPr>
          </w:p>
        </w:tc>
        <w:tc>
          <w:tcPr>
            <w:tcW w:w="4204" w:type="dxa"/>
            <w:shd w:val="clear" w:color="auto" w:fill="auto"/>
          </w:tcPr>
          <w:p w14:paraId="044D8E28" w14:textId="77777777" w:rsidR="00B502A4" w:rsidRPr="00102D22" w:rsidRDefault="00B502A4" w:rsidP="00095326">
            <w:pPr>
              <w:rPr>
                <w:rFonts w:cs="Arial"/>
              </w:rPr>
            </w:pPr>
          </w:p>
        </w:tc>
        <w:tc>
          <w:tcPr>
            <w:tcW w:w="2576" w:type="dxa"/>
            <w:shd w:val="clear" w:color="auto" w:fill="auto"/>
          </w:tcPr>
          <w:p w14:paraId="044D8E29" w14:textId="77777777" w:rsidR="00B502A4" w:rsidRPr="00102D22" w:rsidRDefault="00B502A4" w:rsidP="00095326">
            <w:pPr>
              <w:rPr>
                <w:rFonts w:cs="Arial"/>
              </w:rPr>
            </w:pPr>
          </w:p>
        </w:tc>
      </w:tr>
      <w:tr w:rsidR="00B502A4" w:rsidRPr="00102D22" w14:paraId="044D8E2F" w14:textId="77777777" w:rsidTr="00B502A4">
        <w:tc>
          <w:tcPr>
            <w:tcW w:w="1809" w:type="dxa"/>
            <w:shd w:val="clear" w:color="auto" w:fill="auto"/>
          </w:tcPr>
          <w:p w14:paraId="044D8E2B" w14:textId="77777777" w:rsidR="00B502A4" w:rsidRPr="00102D22" w:rsidRDefault="00B502A4" w:rsidP="00095326">
            <w:pPr>
              <w:rPr>
                <w:rFonts w:cs="Arial"/>
              </w:rPr>
            </w:pPr>
          </w:p>
        </w:tc>
        <w:tc>
          <w:tcPr>
            <w:tcW w:w="1701" w:type="dxa"/>
            <w:shd w:val="clear" w:color="auto" w:fill="auto"/>
          </w:tcPr>
          <w:p w14:paraId="044D8E2C" w14:textId="77777777" w:rsidR="00B502A4" w:rsidRPr="00102D22" w:rsidRDefault="00B502A4" w:rsidP="00095326">
            <w:pPr>
              <w:rPr>
                <w:rFonts w:cs="Arial"/>
              </w:rPr>
            </w:pPr>
          </w:p>
        </w:tc>
        <w:tc>
          <w:tcPr>
            <w:tcW w:w="4204" w:type="dxa"/>
            <w:shd w:val="clear" w:color="auto" w:fill="auto"/>
          </w:tcPr>
          <w:p w14:paraId="044D8E2D" w14:textId="77777777" w:rsidR="00B502A4" w:rsidRPr="00102D22" w:rsidRDefault="00B502A4" w:rsidP="00095326">
            <w:pPr>
              <w:rPr>
                <w:rFonts w:cs="Arial"/>
              </w:rPr>
            </w:pPr>
          </w:p>
        </w:tc>
        <w:tc>
          <w:tcPr>
            <w:tcW w:w="2576" w:type="dxa"/>
            <w:shd w:val="clear" w:color="auto" w:fill="auto"/>
          </w:tcPr>
          <w:p w14:paraId="044D8E2E" w14:textId="77777777" w:rsidR="00B502A4" w:rsidRPr="00102D22" w:rsidRDefault="00B502A4" w:rsidP="00095326">
            <w:pPr>
              <w:rPr>
                <w:rFonts w:cs="Arial"/>
              </w:rPr>
            </w:pPr>
          </w:p>
        </w:tc>
      </w:tr>
    </w:tbl>
    <w:p w14:paraId="044D8E33" w14:textId="77777777" w:rsidR="00C8415D" w:rsidRPr="00102D22" w:rsidRDefault="00C8415D" w:rsidP="00C8415D">
      <w:pPr>
        <w:jc w:val="center"/>
        <w:rPr>
          <w:rFonts w:cs="Arial"/>
        </w:rPr>
      </w:pPr>
      <w:bookmarkStart w:id="0" w:name="_GoBack"/>
      <w:bookmarkEnd w:id="0"/>
    </w:p>
    <w:p w14:paraId="044D8E35" w14:textId="20C00D04" w:rsidR="00212E88" w:rsidRPr="00102D22" w:rsidRDefault="008F3CD7" w:rsidP="00C12195">
      <w:pPr>
        <w:jc w:val="center"/>
        <w:rPr>
          <w:rFonts w:cs="Arial"/>
          <w:szCs w:val="20"/>
        </w:rPr>
      </w:pPr>
      <w:r w:rsidRPr="00102D22">
        <w:rPr>
          <w:rFonts w:cs="Arial"/>
          <w:szCs w:val="20"/>
        </w:rPr>
        <w:t>.</w:t>
      </w:r>
    </w:p>
    <w:sectPr w:rsidR="00212E88" w:rsidRPr="00102D22" w:rsidSect="00537BA3">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6C3C" w14:textId="77777777" w:rsidR="007C3B26" w:rsidRDefault="007C3B26">
      <w:r>
        <w:separator/>
      </w:r>
    </w:p>
  </w:endnote>
  <w:endnote w:type="continuationSeparator" w:id="0">
    <w:p w14:paraId="39A0FA44" w14:textId="77777777" w:rsidR="007C3B26" w:rsidRDefault="007C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A266" w14:textId="77777777" w:rsidR="007C3B26" w:rsidRDefault="007C3B26">
      <w:r>
        <w:separator/>
      </w:r>
    </w:p>
  </w:footnote>
  <w:footnote w:type="continuationSeparator" w:id="0">
    <w:p w14:paraId="50833D05" w14:textId="77777777" w:rsidR="007C3B26" w:rsidRDefault="007C3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8E3A" w14:textId="57277BAA" w:rsidR="003331A9" w:rsidRDefault="006D629B" w:rsidP="00885DF0">
    <w:pPr>
      <w:pStyle w:val="Header"/>
      <w:tabs>
        <w:tab w:val="clear" w:pos="4320"/>
        <w:tab w:val="clear" w:pos="8640"/>
        <w:tab w:val="left" w:pos="3080"/>
        <w:tab w:val="left" w:pos="3750"/>
      </w:tabs>
    </w:pPr>
    <w:r>
      <w:tab/>
    </w:r>
    <w:r w:rsidR="00885DF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BA5599"/>
    <w:multiLevelType w:val="hybridMultilevel"/>
    <w:tmpl w:val="1952DE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87058"/>
    <w:multiLevelType w:val="hybridMultilevel"/>
    <w:tmpl w:val="A66E5CB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9"/>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02D22"/>
    <w:rsid w:val="001123D5"/>
    <w:rsid w:val="00134035"/>
    <w:rsid w:val="00145681"/>
    <w:rsid w:val="00146237"/>
    <w:rsid w:val="00186D07"/>
    <w:rsid w:val="00190DF3"/>
    <w:rsid w:val="001D5C1E"/>
    <w:rsid w:val="00212E88"/>
    <w:rsid w:val="00222174"/>
    <w:rsid w:val="002B5E4F"/>
    <w:rsid w:val="002D034A"/>
    <w:rsid w:val="002D47F6"/>
    <w:rsid w:val="003018D3"/>
    <w:rsid w:val="00303D6C"/>
    <w:rsid w:val="003331A9"/>
    <w:rsid w:val="003404E3"/>
    <w:rsid w:val="00352A14"/>
    <w:rsid w:val="00354A73"/>
    <w:rsid w:val="003D187A"/>
    <w:rsid w:val="004307CB"/>
    <w:rsid w:val="00432006"/>
    <w:rsid w:val="004371F3"/>
    <w:rsid w:val="0044200A"/>
    <w:rsid w:val="00480E89"/>
    <w:rsid w:val="004C5200"/>
    <w:rsid w:val="004D269E"/>
    <w:rsid w:val="004D32EB"/>
    <w:rsid w:val="004E68D9"/>
    <w:rsid w:val="005266E7"/>
    <w:rsid w:val="00537BA3"/>
    <w:rsid w:val="0054288B"/>
    <w:rsid w:val="00554E36"/>
    <w:rsid w:val="00572EAF"/>
    <w:rsid w:val="005A3623"/>
    <w:rsid w:val="005B073C"/>
    <w:rsid w:val="006046E4"/>
    <w:rsid w:val="00613C6B"/>
    <w:rsid w:val="00625F64"/>
    <w:rsid w:val="00636CD4"/>
    <w:rsid w:val="0066050C"/>
    <w:rsid w:val="00687F8E"/>
    <w:rsid w:val="006B66A1"/>
    <w:rsid w:val="006C19C9"/>
    <w:rsid w:val="006D629B"/>
    <w:rsid w:val="006E2105"/>
    <w:rsid w:val="00701BB0"/>
    <w:rsid w:val="0072444D"/>
    <w:rsid w:val="007521AB"/>
    <w:rsid w:val="007547E6"/>
    <w:rsid w:val="007624CE"/>
    <w:rsid w:val="00797D60"/>
    <w:rsid w:val="007A6042"/>
    <w:rsid w:val="007A6EC1"/>
    <w:rsid w:val="007B4ACB"/>
    <w:rsid w:val="007C3B26"/>
    <w:rsid w:val="007D03A1"/>
    <w:rsid w:val="007D06EE"/>
    <w:rsid w:val="007E5261"/>
    <w:rsid w:val="007F767E"/>
    <w:rsid w:val="00804A11"/>
    <w:rsid w:val="0081572D"/>
    <w:rsid w:val="00861438"/>
    <w:rsid w:val="00866FC1"/>
    <w:rsid w:val="00885DF0"/>
    <w:rsid w:val="008B4684"/>
    <w:rsid w:val="008C5E54"/>
    <w:rsid w:val="008D0C7B"/>
    <w:rsid w:val="008F3CD7"/>
    <w:rsid w:val="009113E0"/>
    <w:rsid w:val="00915C20"/>
    <w:rsid w:val="009420A3"/>
    <w:rsid w:val="00952924"/>
    <w:rsid w:val="0098731E"/>
    <w:rsid w:val="009E43CD"/>
    <w:rsid w:val="00A04749"/>
    <w:rsid w:val="00AA6841"/>
    <w:rsid w:val="00AE32EB"/>
    <w:rsid w:val="00B15BF5"/>
    <w:rsid w:val="00B502A4"/>
    <w:rsid w:val="00B77AB1"/>
    <w:rsid w:val="00B93EF7"/>
    <w:rsid w:val="00BA5493"/>
    <w:rsid w:val="00BC1B91"/>
    <w:rsid w:val="00BC1BAC"/>
    <w:rsid w:val="00C12195"/>
    <w:rsid w:val="00C24557"/>
    <w:rsid w:val="00C81438"/>
    <w:rsid w:val="00C8415D"/>
    <w:rsid w:val="00CA08B6"/>
    <w:rsid w:val="00CB51A4"/>
    <w:rsid w:val="00D020A7"/>
    <w:rsid w:val="00D206DA"/>
    <w:rsid w:val="00D2496C"/>
    <w:rsid w:val="00D27D32"/>
    <w:rsid w:val="00D76313"/>
    <w:rsid w:val="00DC143E"/>
    <w:rsid w:val="00DC7917"/>
    <w:rsid w:val="00DD068A"/>
    <w:rsid w:val="00DE2AF1"/>
    <w:rsid w:val="00E64679"/>
    <w:rsid w:val="00E72B5D"/>
    <w:rsid w:val="00E83C56"/>
    <w:rsid w:val="00F3751B"/>
    <w:rsid w:val="00F47D2C"/>
    <w:rsid w:val="00FC0A49"/>
    <w:rsid w:val="00FD0C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D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E4DAF9F-D399-3149-9008-B8C89A18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2016-01-26T16:36:00Z</dcterms:created>
  <dcterms:modified xsi:type="dcterms:W3CDTF">2016-01-27T18:12:00Z</dcterms:modified>
</cp:coreProperties>
</file>