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639F9" w14:textId="260EE8E6" w:rsidR="00861438" w:rsidRPr="00C238A9" w:rsidRDefault="00DC319A" w:rsidP="00C8415D">
      <w:pPr>
        <w:pStyle w:val="Heading1"/>
        <w:rPr>
          <w:sz w:val="36"/>
          <w:szCs w:val="36"/>
        </w:rPr>
      </w:pPr>
      <w:r w:rsidRPr="00C238A9">
        <w:rPr>
          <w:sz w:val="36"/>
          <w:szCs w:val="36"/>
        </w:rPr>
        <w:t>Cryptography</w:t>
      </w:r>
      <w:r w:rsidR="00C238A9" w:rsidRPr="00C238A9">
        <w:rPr>
          <w:sz w:val="36"/>
          <w:szCs w:val="36"/>
        </w:rPr>
        <w:t xml:space="preserve"> </w:t>
      </w:r>
      <w:r w:rsidR="00E64679" w:rsidRPr="00C238A9">
        <w:rPr>
          <w:sz w:val="36"/>
          <w:szCs w:val="36"/>
        </w:rPr>
        <w:t xml:space="preserve">Policy </w:t>
      </w:r>
    </w:p>
    <w:p w14:paraId="794639FA" w14:textId="77777777" w:rsidR="00E64679" w:rsidRPr="00C238A9" w:rsidRDefault="00E64679" w:rsidP="004307CB">
      <w:pPr>
        <w:spacing w:before="60" w:after="60"/>
        <w:rPr>
          <w:rFonts w:cs="Arial"/>
          <w:color w:val="808080" w:themeColor="background1" w:themeShade="80"/>
        </w:rPr>
      </w:pPr>
    </w:p>
    <w:p w14:paraId="794639FB" w14:textId="77777777" w:rsidR="00861438" w:rsidRPr="00C238A9" w:rsidRDefault="004371F3" w:rsidP="004307CB">
      <w:pPr>
        <w:spacing w:before="60" w:after="60"/>
        <w:rPr>
          <w:rFonts w:cs="Arial"/>
          <w:color w:val="808080" w:themeColor="background1" w:themeShade="80"/>
        </w:rPr>
      </w:pPr>
      <w:r w:rsidRPr="00C238A9">
        <w:rPr>
          <w:rFonts w:cs="Arial"/>
          <w:color w:val="808080" w:themeColor="background1" w:themeShade="80"/>
        </w:rPr>
        <w:t>To use this template, simply</w:t>
      </w:r>
      <w:r w:rsidR="004307CB" w:rsidRPr="00C238A9">
        <w:rPr>
          <w:rFonts w:cs="Arial"/>
          <w:color w:val="808080" w:themeColor="background1" w:themeShade="80"/>
        </w:rPr>
        <w:t xml:space="preserve"> </w:t>
      </w:r>
      <w:r w:rsidRPr="00C238A9">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C238A9">
        <w:rPr>
          <w:rFonts w:cs="Arial"/>
          <w:color w:val="808080" w:themeColor="background1" w:themeShade="80"/>
        </w:rPr>
        <w:t xml:space="preserve">. </w:t>
      </w:r>
    </w:p>
    <w:p w14:paraId="79463A12" w14:textId="77777777" w:rsidR="00E64679" w:rsidRPr="00C238A9" w:rsidRDefault="00E64679" w:rsidP="004307CB">
      <w:pPr>
        <w:spacing w:before="60" w:after="60"/>
        <w:rPr>
          <w:rFonts w:cs="Arial"/>
          <w:color w:val="808080" w:themeColor="background1" w:themeShade="80"/>
        </w:rPr>
      </w:pPr>
    </w:p>
    <w:p w14:paraId="79463A13" w14:textId="77777777" w:rsidR="008B4684" w:rsidRPr="00C238A9" w:rsidRDefault="00E64679" w:rsidP="008B4684">
      <w:pPr>
        <w:pStyle w:val="Heading1"/>
      </w:pPr>
      <w:r w:rsidRPr="00C238A9">
        <w:t>Purpose</w:t>
      </w:r>
    </w:p>
    <w:p w14:paraId="79463A14" w14:textId="77777777" w:rsidR="00E64679" w:rsidRPr="00C238A9" w:rsidRDefault="00E64679" w:rsidP="00E64679">
      <w:pPr>
        <w:rPr>
          <w:rFonts w:cs="Arial"/>
          <w:color w:val="808080"/>
        </w:rPr>
      </w:pPr>
      <w:r w:rsidRPr="00C238A9">
        <w:rPr>
          <w:rFonts w:cs="Arial"/>
          <w:color w:val="808080"/>
        </w:rPr>
        <w:t xml:space="preserve">Describe the factors or circumstances that mandate the existence of the policy. Also state the policy’s basic objectives and what the policy is meant to achieve. </w:t>
      </w:r>
    </w:p>
    <w:p w14:paraId="79463A15" w14:textId="77777777" w:rsidR="00E64679" w:rsidRPr="00C238A9" w:rsidRDefault="00E64679" w:rsidP="00E64679">
      <w:pPr>
        <w:rPr>
          <w:rFonts w:cs="Arial"/>
          <w:color w:val="808080"/>
        </w:rPr>
      </w:pPr>
    </w:p>
    <w:p w14:paraId="79463A16" w14:textId="77777777" w:rsidR="00C238A9" w:rsidRPr="00C238A9" w:rsidRDefault="00C238A9" w:rsidP="00C238A9">
      <w:pPr>
        <w:rPr>
          <w:rFonts w:cs="Arial"/>
        </w:rPr>
      </w:pPr>
      <w:r w:rsidRPr="00C238A9">
        <w:rPr>
          <w:rFonts w:cs="Arial"/>
        </w:rPr>
        <w:t>The purpose of this policy is to ensure correct use of cryptography to protect the confidentiality, authenticity, and integrity of the organization’s information.</w:t>
      </w:r>
    </w:p>
    <w:p w14:paraId="79463A17" w14:textId="77777777" w:rsidR="00E64679" w:rsidRPr="00C238A9" w:rsidRDefault="00E64679" w:rsidP="00E64679">
      <w:pPr>
        <w:rPr>
          <w:rFonts w:cs="Arial"/>
        </w:rPr>
      </w:pPr>
    </w:p>
    <w:p w14:paraId="79463A18" w14:textId="77777777" w:rsidR="00E64679" w:rsidRPr="00C238A9" w:rsidRDefault="00E64679" w:rsidP="00E64679">
      <w:pPr>
        <w:pStyle w:val="Heading1"/>
      </w:pPr>
      <w:r w:rsidRPr="00C238A9">
        <w:t>Scope</w:t>
      </w:r>
    </w:p>
    <w:p w14:paraId="79463A19" w14:textId="776C219E" w:rsidR="00E64679" w:rsidRPr="00C238A9" w:rsidRDefault="00E64679" w:rsidP="00E64679">
      <w:pPr>
        <w:rPr>
          <w:rFonts w:cs="Arial"/>
          <w:color w:val="808080"/>
          <w:szCs w:val="20"/>
        </w:rPr>
      </w:pPr>
      <w:r w:rsidRPr="00C238A9">
        <w:rPr>
          <w:rFonts w:cs="Arial"/>
          <w:color w:val="808080"/>
          <w:szCs w:val="20"/>
        </w:rPr>
        <w:t>Define to whom and to what systems this policy applies. List the employees required to comply, or simply indicate “all” if all must comply. Also indicate any exclusions or exceptions</w:t>
      </w:r>
      <w:r w:rsidR="00DC319A">
        <w:rPr>
          <w:rFonts w:cs="Arial"/>
          <w:color w:val="808080"/>
          <w:szCs w:val="20"/>
        </w:rPr>
        <w:t>,</w:t>
      </w:r>
      <w:r w:rsidRPr="00C238A9">
        <w:rPr>
          <w:rFonts w:cs="Arial"/>
          <w:color w:val="808080"/>
          <w:szCs w:val="20"/>
        </w:rPr>
        <w:t xml:space="preserve"> i.e. those people, elements</w:t>
      </w:r>
      <w:r w:rsidR="00DC319A">
        <w:rPr>
          <w:rFonts w:cs="Arial"/>
          <w:color w:val="808080"/>
          <w:szCs w:val="20"/>
        </w:rPr>
        <w:t>,</w:t>
      </w:r>
      <w:r w:rsidRPr="00C238A9">
        <w:rPr>
          <w:rFonts w:cs="Arial"/>
          <w:color w:val="808080"/>
          <w:szCs w:val="20"/>
        </w:rPr>
        <w:t xml:space="preserve"> or situations that are not covered by this policy or where special consideration may be made.</w:t>
      </w:r>
    </w:p>
    <w:p w14:paraId="79463A1A" w14:textId="77777777" w:rsidR="00C238A9" w:rsidRPr="00C238A9" w:rsidRDefault="00C238A9" w:rsidP="00C238A9">
      <w:pPr>
        <w:rPr>
          <w:rFonts w:cs="Arial"/>
        </w:rPr>
      </w:pPr>
    </w:p>
    <w:p w14:paraId="79463A1B" w14:textId="0A529FBD" w:rsidR="00C238A9" w:rsidRPr="00C238A9" w:rsidRDefault="00C238A9" w:rsidP="00C238A9">
      <w:pPr>
        <w:rPr>
          <w:rFonts w:cs="Arial"/>
        </w:rPr>
      </w:pPr>
      <w:r w:rsidRPr="00C238A9">
        <w:rPr>
          <w:rFonts w:cs="Arial"/>
        </w:rPr>
        <w:t>This Cryptography Policy applies to all business processes and data, information systems and components, personnel</w:t>
      </w:r>
      <w:r w:rsidR="00DC319A">
        <w:rPr>
          <w:rFonts w:cs="Arial"/>
        </w:rPr>
        <w:t>,</w:t>
      </w:r>
      <w:r w:rsidRPr="00C238A9">
        <w:rPr>
          <w:rFonts w:cs="Arial"/>
        </w:rPr>
        <w:t xml:space="preserve"> and physical areas of </w:t>
      </w:r>
      <w:r w:rsidRPr="00C238A9">
        <w:rPr>
          <w:rFonts w:cs="Arial"/>
          <w:color w:val="808080" w:themeColor="background1" w:themeShade="80"/>
        </w:rPr>
        <w:t>[Insert Company’s Name].</w:t>
      </w:r>
      <w:r w:rsidRPr="00C238A9">
        <w:rPr>
          <w:rFonts w:cs="Arial"/>
        </w:rPr>
        <w:t xml:space="preserve"> </w:t>
      </w:r>
    </w:p>
    <w:p w14:paraId="79463A1C" w14:textId="77777777" w:rsidR="00B502A4" w:rsidRPr="00C238A9" w:rsidRDefault="00B502A4" w:rsidP="00E64679">
      <w:pPr>
        <w:rPr>
          <w:rFonts w:cs="Arial"/>
          <w:color w:val="000000" w:themeColor="text1"/>
        </w:rPr>
      </w:pPr>
    </w:p>
    <w:p w14:paraId="79463A1D" w14:textId="77777777" w:rsidR="00B502A4" w:rsidRPr="00C238A9" w:rsidRDefault="00B502A4" w:rsidP="00B502A4">
      <w:pPr>
        <w:pStyle w:val="Heading1"/>
      </w:pPr>
      <w:r w:rsidRPr="00C238A9">
        <w:t>Definitions</w:t>
      </w:r>
    </w:p>
    <w:p w14:paraId="79463A1E" w14:textId="1EC6DA86" w:rsidR="00B502A4" w:rsidRPr="00C238A9" w:rsidRDefault="00B502A4" w:rsidP="00B502A4">
      <w:pPr>
        <w:rPr>
          <w:rFonts w:cs="Arial"/>
          <w:color w:val="808080"/>
        </w:rPr>
      </w:pPr>
      <w:r w:rsidRPr="00C238A9">
        <w:rPr>
          <w:rFonts w:cs="Arial"/>
          <w:color w:val="808080"/>
        </w:rPr>
        <w:t>Define any key terms, acronyms</w:t>
      </w:r>
      <w:r w:rsidR="00DC319A">
        <w:rPr>
          <w:rFonts w:cs="Arial"/>
          <w:color w:val="808080"/>
        </w:rPr>
        <w:t>,</w:t>
      </w:r>
      <w:r w:rsidRPr="00C238A9">
        <w:rPr>
          <w:rFonts w:cs="Arial"/>
          <w:color w:val="808080"/>
        </w:rPr>
        <w:t xml:space="preserve"> or concepts that will be used in the policy. A standard glossary approach is sufficient.</w:t>
      </w:r>
    </w:p>
    <w:p w14:paraId="79463A1F" w14:textId="77777777" w:rsidR="00B502A4" w:rsidRPr="00C238A9" w:rsidRDefault="00B502A4" w:rsidP="00B502A4">
      <w:pPr>
        <w:rPr>
          <w:rFonts w:cs="Arial"/>
          <w:color w:val="808080"/>
        </w:rPr>
      </w:pPr>
    </w:p>
    <w:p w14:paraId="79463A20" w14:textId="77777777" w:rsidR="00B502A4" w:rsidRPr="00C238A9" w:rsidRDefault="00B502A4" w:rsidP="00B502A4">
      <w:pPr>
        <w:pStyle w:val="Heading1"/>
      </w:pPr>
      <w:r w:rsidRPr="00C238A9">
        <w:t>Governing Laws &amp; Regulations</w:t>
      </w:r>
      <w:r w:rsidR="00C238A9" w:rsidRPr="00C238A9">
        <w:t xml:space="preserve"> &amp; Standards </w:t>
      </w:r>
    </w:p>
    <w:p w14:paraId="79463A21" w14:textId="77777777" w:rsidR="00B502A4" w:rsidRPr="00C238A9" w:rsidRDefault="00B502A4" w:rsidP="00B502A4">
      <w:pPr>
        <w:rPr>
          <w:rFonts w:cs="Arial"/>
          <w:color w:val="808080"/>
        </w:rPr>
      </w:pPr>
      <w:r w:rsidRPr="00C238A9">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79463A22" w14:textId="77777777" w:rsidR="00B502A4" w:rsidRPr="00C238A9"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6771"/>
      </w:tblGrid>
      <w:tr w:rsidR="00C238A9" w:rsidRPr="00C238A9" w14:paraId="79463A25" w14:textId="77777777" w:rsidTr="00A0240A">
        <w:tc>
          <w:tcPr>
            <w:tcW w:w="3425" w:type="dxa"/>
            <w:shd w:val="clear" w:color="auto" w:fill="DDDECE"/>
            <w:vAlign w:val="center"/>
          </w:tcPr>
          <w:p w14:paraId="79463A23" w14:textId="77777777" w:rsidR="00C238A9" w:rsidRPr="00C238A9" w:rsidRDefault="00C238A9" w:rsidP="00A0240A">
            <w:pPr>
              <w:rPr>
                <w:rFonts w:cs="Arial"/>
                <w:b/>
              </w:rPr>
            </w:pPr>
            <w:r w:rsidRPr="00C238A9">
              <w:rPr>
                <w:rFonts w:cs="Arial"/>
                <w:b/>
              </w:rPr>
              <w:t>Guidance</w:t>
            </w:r>
          </w:p>
        </w:tc>
        <w:tc>
          <w:tcPr>
            <w:tcW w:w="6771" w:type="dxa"/>
            <w:shd w:val="clear" w:color="auto" w:fill="DDDECE"/>
            <w:vAlign w:val="center"/>
          </w:tcPr>
          <w:p w14:paraId="79463A24" w14:textId="77777777" w:rsidR="00C238A9" w:rsidRPr="00C238A9" w:rsidRDefault="00C238A9" w:rsidP="00A0240A">
            <w:pPr>
              <w:rPr>
                <w:rFonts w:cs="Arial"/>
                <w:b/>
              </w:rPr>
            </w:pPr>
            <w:r w:rsidRPr="00C238A9">
              <w:rPr>
                <w:rFonts w:cs="Arial"/>
                <w:b/>
              </w:rPr>
              <w:t>Section</w:t>
            </w:r>
          </w:p>
        </w:tc>
      </w:tr>
      <w:tr w:rsidR="00C238A9" w:rsidRPr="00C238A9" w14:paraId="79463A28" w14:textId="77777777" w:rsidTr="00A0240A">
        <w:tc>
          <w:tcPr>
            <w:tcW w:w="3425" w:type="dxa"/>
          </w:tcPr>
          <w:p w14:paraId="79463A26" w14:textId="77777777" w:rsidR="00C238A9" w:rsidRPr="00C238A9" w:rsidRDefault="00C238A9" w:rsidP="00A0240A">
            <w:pPr>
              <w:rPr>
                <w:rFonts w:cs="Arial"/>
              </w:rPr>
            </w:pPr>
            <w:r w:rsidRPr="00C238A9">
              <w:rPr>
                <w:rFonts w:cs="Arial"/>
              </w:rPr>
              <w:t>ISO27001:2013</w:t>
            </w:r>
          </w:p>
        </w:tc>
        <w:tc>
          <w:tcPr>
            <w:tcW w:w="6771" w:type="dxa"/>
          </w:tcPr>
          <w:p w14:paraId="79463A27" w14:textId="77777777" w:rsidR="00C238A9" w:rsidRPr="00C238A9" w:rsidRDefault="00C238A9" w:rsidP="00A0240A">
            <w:pPr>
              <w:rPr>
                <w:rFonts w:cs="Arial"/>
              </w:rPr>
            </w:pPr>
            <w:r w:rsidRPr="00C238A9">
              <w:rPr>
                <w:rFonts w:cs="Arial"/>
              </w:rPr>
              <w:t>A.10 (A.10.1)</w:t>
            </w:r>
          </w:p>
        </w:tc>
      </w:tr>
      <w:tr w:rsidR="00C238A9" w:rsidRPr="00C238A9" w14:paraId="79463A2B" w14:textId="77777777" w:rsidTr="00A0240A">
        <w:tc>
          <w:tcPr>
            <w:tcW w:w="3425" w:type="dxa"/>
          </w:tcPr>
          <w:p w14:paraId="79463A29" w14:textId="77777777" w:rsidR="00C238A9" w:rsidRPr="00C238A9" w:rsidRDefault="00C238A9" w:rsidP="00A0240A">
            <w:pPr>
              <w:rPr>
                <w:rFonts w:cs="Arial"/>
              </w:rPr>
            </w:pPr>
            <w:r w:rsidRPr="00C238A9">
              <w:rPr>
                <w:rFonts w:cs="Arial"/>
              </w:rPr>
              <w:t>NIST SP 800-53 v4</w:t>
            </w:r>
          </w:p>
        </w:tc>
        <w:tc>
          <w:tcPr>
            <w:tcW w:w="6771" w:type="dxa"/>
          </w:tcPr>
          <w:p w14:paraId="79463A2A" w14:textId="77777777" w:rsidR="00C238A9" w:rsidRPr="00C238A9" w:rsidRDefault="00C238A9" w:rsidP="00A0240A">
            <w:pPr>
              <w:rPr>
                <w:rFonts w:cs="Arial"/>
              </w:rPr>
            </w:pPr>
            <w:r w:rsidRPr="00C238A9">
              <w:rPr>
                <w:rFonts w:cs="Arial"/>
              </w:rPr>
              <w:t>SC-12, SC-13, SC-17</w:t>
            </w:r>
          </w:p>
        </w:tc>
      </w:tr>
      <w:tr w:rsidR="00C238A9" w:rsidRPr="00C238A9" w14:paraId="79463A2E" w14:textId="77777777" w:rsidTr="00A0240A">
        <w:tc>
          <w:tcPr>
            <w:tcW w:w="3425" w:type="dxa"/>
          </w:tcPr>
          <w:p w14:paraId="79463A2C" w14:textId="77777777" w:rsidR="00C238A9" w:rsidRPr="00C238A9" w:rsidRDefault="00C238A9" w:rsidP="00A0240A">
            <w:pPr>
              <w:rPr>
                <w:rFonts w:cs="Arial"/>
              </w:rPr>
            </w:pPr>
            <w:r w:rsidRPr="00C238A9">
              <w:rPr>
                <w:rFonts w:cs="Arial"/>
              </w:rPr>
              <w:t>NIST SP 800-21</w:t>
            </w:r>
          </w:p>
        </w:tc>
        <w:tc>
          <w:tcPr>
            <w:tcW w:w="6771" w:type="dxa"/>
          </w:tcPr>
          <w:p w14:paraId="79463A2D" w14:textId="77777777" w:rsidR="00C238A9" w:rsidRPr="00C238A9" w:rsidRDefault="00C238A9" w:rsidP="00A0240A">
            <w:pPr>
              <w:rPr>
                <w:rFonts w:cs="Arial"/>
              </w:rPr>
            </w:pPr>
            <w:r w:rsidRPr="00C238A9">
              <w:rPr>
                <w:rFonts w:cs="Arial"/>
              </w:rPr>
              <w:t>2.1, 3.6</w:t>
            </w:r>
          </w:p>
        </w:tc>
      </w:tr>
    </w:tbl>
    <w:p w14:paraId="79463A2F" w14:textId="77777777" w:rsidR="00E64679" w:rsidRPr="00C238A9" w:rsidRDefault="00E64679" w:rsidP="00E64679">
      <w:pPr>
        <w:rPr>
          <w:rFonts w:cs="Arial"/>
        </w:rPr>
      </w:pPr>
    </w:p>
    <w:p w14:paraId="79463A30" w14:textId="77777777" w:rsidR="00B502A4" w:rsidRPr="00C238A9" w:rsidRDefault="00B502A4" w:rsidP="00B502A4">
      <w:pPr>
        <w:pStyle w:val="Heading1"/>
      </w:pPr>
      <w:r w:rsidRPr="00C238A9">
        <w:t>Policy Statements</w:t>
      </w:r>
    </w:p>
    <w:p w14:paraId="79463A31" w14:textId="77777777" w:rsidR="00B502A4" w:rsidRPr="00C238A9" w:rsidRDefault="00B502A4" w:rsidP="00B502A4">
      <w:pPr>
        <w:rPr>
          <w:rFonts w:cs="Arial"/>
          <w:color w:val="808080"/>
          <w:szCs w:val="20"/>
        </w:rPr>
      </w:pPr>
      <w:r w:rsidRPr="00C238A9">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79463A32" w14:textId="77777777" w:rsidR="00A04749" w:rsidRPr="00C238A9" w:rsidRDefault="00A04749" w:rsidP="00A04749">
      <w:pPr>
        <w:ind w:left="173"/>
        <w:rPr>
          <w:rFonts w:cs="Arial"/>
          <w:sz w:val="24"/>
        </w:rPr>
      </w:pPr>
    </w:p>
    <w:p w14:paraId="79463A33" w14:textId="77777777" w:rsidR="00C238A9" w:rsidRPr="00C238A9" w:rsidRDefault="00C238A9" w:rsidP="00C238A9">
      <w:pPr>
        <w:pStyle w:val="SoKPolicyThirdLevelContent"/>
        <w:spacing w:after="120"/>
        <w:ind w:left="0"/>
        <w:rPr>
          <w:rFonts w:ascii="Arial" w:hAnsi="Arial" w:cs="Arial"/>
          <w:b/>
          <w:sz w:val="20"/>
        </w:rPr>
      </w:pPr>
      <w:r w:rsidRPr="00C238A9">
        <w:rPr>
          <w:rFonts w:ascii="Arial" w:hAnsi="Arial" w:cs="Arial"/>
          <w:b/>
          <w:sz w:val="20"/>
        </w:rPr>
        <w:t xml:space="preserve">Cryptographic Controls: </w:t>
      </w:r>
    </w:p>
    <w:p w14:paraId="79463A34" w14:textId="77777777" w:rsidR="00C238A9" w:rsidRPr="00C238A9" w:rsidRDefault="00C238A9" w:rsidP="00C238A9">
      <w:pPr>
        <w:pStyle w:val="SoKPolicyThirdLevelContent"/>
        <w:numPr>
          <w:ilvl w:val="1"/>
          <w:numId w:val="10"/>
        </w:numPr>
        <w:spacing w:after="120"/>
        <w:rPr>
          <w:rFonts w:ascii="Arial" w:hAnsi="Arial" w:cs="Arial"/>
          <w:color w:val="000000"/>
          <w:sz w:val="20"/>
        </w:rPr>
      </w:pPr>
      <w:r w:rsidRPr="00C238A9">
        <w:rPr>
          <w:rFonts w:ascii="Arial" w:hAnsi="Arial" w:cs="Arial"/>
          <w:color w:val="A6A6A6" w:themeColor="background1" w:themeShade="A6"/>
          <w:sz w:val="20"/>
        </w:rPr>
        <w:t xml:space="preserve">[Insert Company’s name] </w:t>
      </w:r>
      <w:r w:rsidRPr="00C238A9">
        <w:rPr>
          <w:rFonts w:ascii="Arial" w:hAnsi="Arial" w:cs="Arial"/>
          <w:sz w:val="20"/>
        </w:rPr>
        <w:t>will develop a policy surrounding the proper procedures needed around the use of cryptographic controls. The following items should be considered:</w:t>
      </w:r>
    </w:p>
    <w:p w14:paraId="79463A35" w14:textId="77777777" w:rsidR="00C238A9" w:rsidRPr="00C238A9" w:rsidRDefault="00C238A9" w:rsidP="00C238A9">
      <w:pPr>
        <w:pStyle w:val="ListParagraph"/>
        <w:numPr>
          <w:ilvl w:val="2"/>
          <w:numId w:val="12"/>
        </w:numPr>
        <w:rPr>
          <w:rFonts w:cs="Arial"/>
          <w:color w:val="000000"/>
          <w:szCs w:val="20"/>
          <w:lang w:eastAsia="en-CA"/>
        </w:rPr>
      </w:pPr>
      <w:r w:rsidRPr="00C238A9">
        <w:rPr>
          <w:rFonts w:cs="Arial"/>
          <w:color w:val="000000"/>
          <w:szCs w:val="20"/>
          <w:lang w:eastAsia="en-CA"/>
        </w:rPr>
        <w:t>Based on a risk assessment, the required level of protection should be identified taking into account the type, strength, and quality of the encryption algorithm required.</w:t>
      </w:r>
    </w:p>
    <w:p w14:paraId="79463A36" w14:textId="77777777" w:rsidR="00C238A9" w:rsidRPr="00C238A9" w:rsidRDefault="00C238A9" w:rsidP="00C238A9">
      <w:pPr>
        <w:pStyle w:val="ListParagraph"/>
        <w:numPr>
          <w:ilvl w:val="2"/>
          <w:numId w:val="12"/>
        </w:numPr>
        <w:rPr>
          <w:rFonts w:cs="Arial"/>
          <w:color w:val="000000"/>
        </w:rPr>
      </w:pPr>
      <w:r w:rsidRPr="00C238A9">
        <w:rPr>
          <w:rFonts w:cs="Arial"/>
          <w:color w:val="000000"/>
          <w:szCs w:val="20"/>
          <w:lang w:eastAsia="en-CA"/>
        </w:rPr>
        <w:lastRenderedPageBreak/>
        <w:t>The use of encryption for protection of information transported by mobile or removable media devices or across communication lines.</w:t>
      </w:r>
    </w:p>
    <w:p w14:paraId="79463A37" w14:textId="77777777" w:rsidR="00C238A9" w:rsidRPr="00C238A9" w:rsidRDefault="00C238A9" w:rsidP="00C238A9">
      <w:pPr>
        <w:pStyle w:val="ListParagraph"/>
        <w:numPr>
          <w:ilvl w:val="2"/>
          <w:numId w:val="12"/>
        </w:numPr>
        <w:rPr>
          <w:rFonts w:cs="Arial"/>
          <w:color w:val="000000"/>
        </w:rPr>
      </w:pPr>
      <w:r w:rsidRPr="00C238A9">
        <w:rPr>
          <w:rFonts w:cs="Arial"/>
          <w:color w:val="000000"/>
          <w:szCs w:val="20"/>
          <w:lang w:eastAsia="en-CA"/>
        </w:rPr>
        <w:t>The standards to be adopted for effective implementation throughout the organization.</w:t>
      </w:r>
    </w:p>
    <w:p w14:paraId="79463A38" w14:textId="77777777" w:rsidR="00C238A9" w:rsidRPr="00C238A9" w:rsidRDefault="00C238A9" w:rsidP="00C238A9">
      <w:pPr>
        <w:pStyle w:val="ListParagraph"/>
        <w:numPr>
          <w:ilvl w:val="2"/>
          <w:numId w:val="12"/>
        </w:numPr>
        <w:spacing w:after="120"/>
        <w:rPr>
          <w:rFonts w:cs="Arial"/>
          <w:color w:val="000000"/>
        </w:rPr>
      </w:pPr>
      <w:r w:rsidRPr="00C238A9">
        <w:rPr>
          <w:rFonts w:cs="Arial"/>
          <w:color w:val="000000"/>
          <w:szCs w:val="20"/>
          <w:lang w:eastAsia="en-CA"/>
        </w:rPr>
        <w:t>The impact of using encrypted information on controls that rely upon content inspection.</w:t>
      </w:r>
    </w:p>
    <w:p w14:paraId="79463A39" w14:textId="77777777" w:rsidR="00C238A9" w:rsidRPr="00C238A9" w:rsidRDefault="00C238A9" w:rsidP="00C238A9">
      <w:pPr>
        <w:pStyle w:val="SoKPolicyThirdLevelContent"/>
        <w:spacing w:after="120"/>
        <w:ind w:left="0"/>
        <w:rPr>
          <w:rFonts w:ascii="Arial" w:hAnsi="Arial" w:cs="Arial"/>
          <w:b/>
          <w:sz w:val="20"/>
        </w:rPr>
      </w:pPr>
      <w:r w:rsidRPr="00C238A9">
        <w:rPr>
          <w:rFonts w:ascii="Arial" w:hAnsi="Arial" w:cs="Arial"/>
          <w:b/>
          <w:sz w:val="20"/>
        </w:rPr>
        <w:t>Key Management:</w:t>
      </w:r>
    </w:p>
    <w:p w14:paraId="79463A3A" w14:textId="77777777" w:rsidR="00C238A9" w:rsidRPr="00C238A9" w:rsidRDefault="00C238A9" w:rsidP="00C238A9">
      <w:pPr>
        <w:pStyle w:val="ListParagraph"/>
        <w:numPr>
          <w:ilvl w:val="1"/>
          <w:numId w:val="10"/>
        </w:numPr>
        <w:rPr>
          <w:rFonts w:cs="Arial"/>
          <w:color w:val="000000"/>
        </w:rPr>
      </w:pPr>
      <w:r w:rsidRPr="00C238A9">
        <w:rPr>
          <w:rFonts w:cs="Arial"/>
          <w:color w:val="000000"/>
          <w:szCs w:val="20"/>
          <w:lang w:eastAsia="en-CA"/>
        </w:rPr>
        <w:t>Cryptographic keys should be protected through their whole lifecycle.</w:t>
      </w:r>
    </w:p>
    <w:p w14:paraId="79463A3B" w14:textId="77777777" w:rsidR="00C238A9" w:rsidRPr="00C238A9" w:rsidRDefault="00C238A9" w:rsidP="00C238A9">
      <w:pPr>
        <w:pStyle w:val="ListParagraph"/>
        <w:numPr>
          <w:ilvl w:val="1"/>
          <w:numId w:val="10"/>
        </w:numPr>
        <w:rPr>
          <w:rFonts w:cs="Arial"/>
          <w:color w:val="000000"/>
          <w:szCs w:val="20"/>
          <w:lang w:eastAsia="en-CA"/>
        </w:rPr>
      </w:pPr>
      <w:r w:rsidRPr="00C238A9">
        <w:rPr>
          <w:rFonts w:cs="Arial"/>
          <w:color w:val="000000"/>
          <w:szCs w:val="20"/>
          <w:lang w:eastAsia="en-CA"/>
        </w:rPr>
        <w:t>Cryptographic algorithms, key lengths, and usage practices should be selected according to best practice.</w:t>
      </w:r>
    </w:p>
    <w:p w14:paraId="79463A3C" w14:textId="77777777" w:rsidR="00C238A9" w:rsidRPr="00C238A9" w:rsidRDefault="00C238A9" w:rsidP="00C238A9">
      <w:pPr>
        <w:pStyle w:val="ListParagraph"/>
        <w:numPr>
          <w:ilvl w:val="1"/>
          <w:numId w:val="10"/>
        </w:numPr>
        <w:rPr>
          <w:rFonts w:cs="Arial"/>
          <w:color w:val="000000"/>
        </w:rPr>
      </w:pPr>
      <w:r w:rsidRPr="00C238A9">
        <w:rPr>
          <w:rFonts w:cs="Arial"/>
          <w:color w:val="000000"/>
          <w:szCs w:val="20"/>
          <w:lang w:eastAsia="en-CA"/>
        </w:rPr>
        <w:t xml:space="preserve">All cryptographic keys should be protected against modification and loss. In addition, secret and private keys need protection against unauthorized use as well as disclosure. </w:t>
      </w:r>
    </w:p>
    <w:p w14:paraId="79463A3D" w14:textId="77777777" w:rsidR="00C238A9" w:rsidRPr="00C238A9" w:rsidRDefault="00C238A9" w:rsidP="00C238A9">
      <w:pPr>
        <w:pStyle w:val="ListParagraph"/>
        <w:numPr>
          <w:ilvl w:val="1"/>
          <w:numId w:val="10"/>
        </w:numPr>
        <w:rPr>
          <w:rFonts w:cs="Arial"/>
          <w:color w:val="000000"/>
        </w:rPr>
      </w:pPr>
      <w:r w:rsidRPr="00C238A9">
        <w:rPr>
          <w:rFonts w:cs="Arial"/>
          <w:color w:val="000000"/>
          <w:szCs w:val="20"/>
          <w:lang w:eastAsia="en-CA"/>
        </w:rPr>
        <w:t>Equipment used to generate, store, and archive keys should be physically protected.</w:t>
      </w:r>
    </w:p>
    <w:p w14:paraId="79463A3E" w14:textId="77777777" w:rsidR="00C238A9" w:rsidRPr="00C238A9" w:rsidRDefault="00C238A9" w:rsidP="00C238A9">
      <w:pPr>
        <w:pStyle w:val="ListParagraph"/>
        <w:numPr>
          <w:ilvl w:val="1"/>
          <w:numId w:val="10"/>
        </w:numPr>
        <w:rPr>
          <w:rFonts w:cs="Arial"/>
          <w:color w:val="000000"/>
          <w:szCs w:val="20"/>
          <w:lang w:eastAsia="en-CA"/>
        </w:rPr>
      </w:pPr>
      <w:r w:rsidRPr="00C238A9">
        <w:rPr>
          <w:rFonts w:cs="Arial"/>
          <w:color w:val="000000"/>
          <w:szCs w:val="20"/>
          <w:lang w:eastAsia="en-CA"/>
        </w:rPr>
        <w:t>A key management system should be based on an agreed set of standards, procedures, and secure methods for:</w:t>
      </w:r>
    </w:p>
    <w:p w14:paraId="79463A3F"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Generating keys for different cryptographic systems and different applications.</w:t>
      </w:r>
    </w:p>
    <w:p w14:paraId="79463A40"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Issuing and obtaining public key certificates.</w:t>
      </w:r>
    </w:p>
    <w:p w14:paraId="79463A41"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Distributing keys to intended entities, including how keys should be activated when received.</w:t>
      </w:r>
    </w:p>
    <w:p w14:paraId="79463A42"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Storing keys, including how authorized users obtain access to keys.</w:t>
      </w:r>
    </w:p>
    <w:p w14:paraId="79463A43" w14:textId="26343054"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Changing or updating keys</w:t>
      </w:r>
      <w:r w:rsidR="00DC319A">
        <w:rPr>
          <w:rFonts w:cs="Arial"/>
          <w:color w:val="000000"/>
          <w:szCs w:val="20"/>
          <w:lang w:eastAsia="en-CA"/>
        </w:rPr>
        <w:t>,</w:t>
      </w:r>
      <w:r w:rsidRPr="00C238A9">
        <w:rPr>
          <w:rFonts w:cs="Arial"/>
          <w:color w:val="000000"/>
          <w:szCs w:val="20"/>
          <w:lang w:eastAsia="en-CA"/>
        </w:rPr>
        <w:t xml:space="preserve"> including rules on when keys should be changed and how this will be done.</w:t>
      </w:r>
    </w:p>
    <w:p w14:paraId="79463A44"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Dealing with compromised keys.</w:t>
      </w:r>
    </w:p>
    <w:p w14:paraId="79463A45"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Revoking keys, including how keys should be withdrawn or deactivated.</w:t>
      </w:r>
    </w:p>
    <w:p w14:paraId="79463A46"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Recovering keys that are lost or corrupted.</w:t>
      </w:r>
    </w:p>
    <w:p w14:paraId="79463A47"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Backing up or archiving keys.</w:t>
      </w:r>
    </w:p>
    <w:p w14:paraId="79463A48"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Destroying keys.</w:t>
      </w:r>
    </w:p>
    <w:p w14:paraId="79463A49" w14:textId="77777777" w:rsidR="00C238A9" w:rsidRPr="00C238A9" w:rsidRDefault="00C238A9" w:rsidP="00C238A9">
      <w:pPr>
        <w:pStyle w:val="ListParagraph"/>
        <w:numPr>
          <w:ilvl w:val="2"/>
          <w:numId w:val="11"/>
        </w:numPr>
        <w:rPr>
          <w:rFonts w:cs="Arial"/>
          <w:color w:val="000000"/>
          <w:szCs w:val="20"/>
          <w:lang w:eastAsia="en-CA"/>
        </w:rPr>
      </w:pPr>
      <w:r w:rsidRPr="00C238A9">
        <w:rPr>
          <w:rFonts w:cs="Arial"/>
          <w:color w:val="000000"/>
          <w:szCs w:val="20"/>
          <w:lang w:eastAsia="en-CA"/>
        </w:rPr>
        <w:t>Logging and auditing of key management related activities.</w:t>
      </w:r>
    </w:p>
    <w:p w14:paraId="79463A4A" w14:textId="77777777" w:rsidR="00A04749" w:rsidRPr="00C238A9" w:rsidRDefault="00A04749" w:rsidP="00A04749">
      <w:pPr>
        <w:ind w:left="173"/>
        <w:rPr>
          <w:rFonts w:cs="Arial"/>
          <w:sz w:val="24"/>
        </w:rPr>
      </w:pPr>
    </w:p>
    <w:p w14:paraId="79463A4B" w14:textId="77777777" w:rsidR="00A04749" w:rsidRPr="00C238A9" w:rsidRDefault="00A04749" w:rsidP="00A04749">
      <w:pPr>
        <w:ind w:left="173"/>
        <w:rPr>
          <w:rFonts w:cs="Arial"/>
          <w:sz w:val="24"/>
        </w:rPr>
      </w:pPr>
    </w:p>
    <w:p w14:paraId="79463A4C" w14:textId="77777777" w:rsidR="00A04749" w:rsidRPr="00DC319A" w:rsidRDefault="00A04749" w:rsidP="00A04749">
      <w:pPr>
        <w:spacing w:before="180"/>
        <w:rPr>
          <w:rFonts w:cs="Arial"/>
          <w:b/>
          <w:sz w:val="32"/>
          <w:szCs w:val="32"/>
        </w:rPr>
      </w:pPr>
      <w:r w:rsidRPr="00DC319A">
        <w:rPr>
          <w:rFonts w:cs="Arial"/>
          <w:b/>
          <w:sz w:val="32"/>
          <w:szCs w:val="32"/>
        </w:rPr>
        <w:t>Relevant Procedures</w:t>
      </w:r>
    </w:p>
    <w:p w14:paraId="79463A4D" w14:textId="77777777" w:rsidR="00A04749" w:rsidRPr="00C238A9" w:rsidRDefault="00A04749" w:rsidP="00A04749">
      <w:pPr>
        <w:spacing w:before="180"/>
        <w:rPr>
          <w:rFonts w:cs="Arial"/>
          <w:color w:val="808080" w:themeColor="background1" w:themeShade="80"/>
          <w:szCs w:val="20"/>
        </w:rPr>
      </w:pPr>
      <w:r w:rsidRPr="00C238A9">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79463A4E" w14:textId="77777777" w:rsidR="00A04749" w:rsidRPr="00C238A9" w:rsidRDefault="00A04749" w:rsidP="00A04749">
      <w:pPr>
        <w:ind w:left="173"/>
        <w:rPr>
          <w:rFonts w:cs="Arial"/>
          <w:szCs w:val="20"/>
        </w:rPr>
      </w:pPr>
    </w:p>
    <w:p w14:paraId="79463A4F" w14:textId="77777777" w:rsidR="00AA6841" w:rsidRPr="00C238A9" w:rsidRDefault="00AA6841" w:rsidP="00AA6841">
      <w:pPr>
        <w:pStyle w:val="ListNumber"/>
        <w:numPr>
          <w:ilvl w:val="0"/>
          <w:numId w:val="0"/>
        </w:numPr>
        <w:tabs>
          <w:tab w:val="clear" w:pos="360"/>
        </w:tabs>
        <w:ind w:left="720"/>
        <w:rPr>
          <w:rFonts w:ascii="Arial" w:hAnsi="Arial" w:cs="Arial"/>
          <w:color w:val="000000" w:themeColor="text1"/>
        </w:rPr>
      </w:pPr>
    </w:p>
    <w:p w14:paraId="79463A50" w14:textId="77777777" w:rsidR="00B502A4" w:rsidRPr="00C238A9" w:rsidRDefault="00B502A4" w:rsidP="00B502A4">
      <w:pPr>
        <w:pStyle w:val="Heading1"/>
      </w:pPr>
      <w:r w:rsidRPr="00C238A9">
        <w:t>Non-Compliance</w:t>
      </w:r>
    </w:p>
    <w:p w14:paraId="79463A51" w14:textId="77777777" w:rsidR="00AA6841" w:rsidRPr="00C238A9" w:rsidRDefault="00AA6841" w:rsidP="00AA6841">
      <w:pPr>
        <w:rPr>
          <w:rFonts w:cs="Arial"/>
          <w:color w:val="808080"/>
        </w:rPr>
      </w:pPr>
      <w:r w:rsidRPr="00C238A9">
        <w:rPr>
          <w:rFonts w:cs="Arial"/>
          <w:color w:val="808080"/>
        </w:rPr>
        <w:t>Clearly describe consequences (legal and/or disciplinary) for employee non-compliance with the policy. It may be pertinent to describe the escalation process for repeated non-compliance.</w:t>
      </w:r>
    </w:p>
    <w:p w14:paraId="79463A52" w14:textId="77777777" w:rsidR="00B502A4" w:rsidRPr="00C238A9" w:rsidRDefault="00B502A4" w:rsidP="00E64679">
      <w:pPr>
        <w:rPr>
          <w:rFonts w:cs="Arial"/>
        </w:rPr>
      </w:pPr>
    </w:p>
    <w:p w14:paraId="79463A53" w14:textId="29F969E8" w:rsidR="00AA6841" w:rsidRPr="00C238A9" w:rsidRDefault="00AA6841" w:rsidP="00AA6841">
      <w:pPr>
        <w:rPr>
          <w:rFonts w:cs="Arial"/>
          <w:color w:val="000000" w:themeColor="text1"/>
        </w:rPr>
      </w:pPr>
      <w:r w:rsidRPr="00C238A9">
        <w:rPr>
          <w:rFonts w:cs="Arial"/>
          <w:color w:val="000000" w:themeColor="text1"/>
        </w:rPr>
        <w:t xml:space="preserve">Violations of this policy will be treated like other allegations of wrongdoing at </w:t>
      </w:r>
      <w:r w:rsidRPr="00C238A9">
        <w:rPr>
          <w:rFonts w:cs="Arial"/>
          <w:color w:val="A6A6A6" w:themeColor="background1" w:themeShade="A6"/>
        </w:rPr>
        <w:t>[</w:t>
      </w:r>
      <w:r w:rsidR="00DC319A">
        <w:rPr>
          <w:rFonts w:cs="Arial"/>
          <w:color w:val="A6A6A6" w:themeColor="background1" w:themeShade="A6"/>
        </w:rPr>
        <w:t>Company Name</w:t>
      </w:r>
      <w:r w:rsidRPr="00C238A9">
        <w:rPr>
          <w:rFonts w:cs="Arial"/>
          <w:color w:val="A6A6A6" w:themeColor="background1" w:themeShade="A6"/>
        </w:rPr>
        <w:t>]</w:t>
      </w:r>
      <w:r w:rsidRPr="00C238A9">
        <w:rPr>
          <w:rFonts w:cs="Arial"/>
          <w:color w:val="000000" w:themeColor="text1"/>
        </w:rPr>
        <w:t>. Allegations of misconduct will be adjudicated according to established procedures. Sanctions for non-compliance may include, but are not limited to, one or more of the following:</w:t>
      </w:r>
    </w:p>
    <w:p w14:paraId="79463A54" w14:textId="77777777" w:rsidR="00AA6841" w:rsidRPr="00C238A9" w:rsidRDefault="00AA6841" w:rsidP="00AA6841">
      <w:pPr>
        <w:rPr>
          <w:rFonts w:cs="Arial"/>
          <w:color w:val="000000" w:themeColor="text1"/>
        </w:rPr>
      </w:pPr>
    </w:p>
    <w:p w14:paraId="79463A55" w14:textId="7B162ED6" w:rsidR="00AA6841" w:rsidRPr="00C238A9" w:rsidRDefault="00AA6841" w:rsidP="00AA6841">
      <w:pPr>
        <w:pStyle w:val="ListNumber2"/>
        <w:rPr>
          <w:rFonts w:cs="Arial"/>
          <w:color w:val="000000" w:themeColor="text1"/>
        </w:rPr>
      </w:pPr>
      <w:r w:rsidRPr="00C238A9">
        <w:rPr>
          <w:rFonts w:cs="Arial"/>
          <w:color w:val="000000" w:themeColor="text1"/>
        </w:rPr>
        <w:t xml:space="preserve">Disciplinary action according to applicable </w:t>
      </w:r>
      <w:r w:rsidRPr="00C238A9">
        <w:rPr>
          <w:rFonts w:cs="Arial"/>
          <w:color w:val="A6A6A6" w:themeColor="background1" w:themeShade="A6"/>
        </w:rPr>
        <w:t>[</w:t>
      </w:r>
      <w:r w:rsidR="00DC319A">
        <w:rPr>
          <w:rFonts w:cs="Arial"/>
          <w:color w:val="A6A6A6" w:themeColor="background1" w:themeShade="A6"/>
        </w:rPr>
        <w:t>Company Name</w:t>
      </w:r>
      <w:r w:rsidRPr="00C238A9">
        <w:rPr>
          <w:rFonts w:cs="Arial"/>
          <w:color w:val="A6A6A6" w:themeColor="background1" w:themeShade="A6"/>
        </w:rPr>
        <w:t xml:space="preserve">] </w:t>
      </w:r>
      <w:r w:rsidRPr="00C238A9">
        <w:rPr>
          <w:rFonts w:cs="Arial"/>
          <w:color w:val="000000" w:themeColor="text1"/>
        </w:rPr>
        <w:t xml:space="preserve">policies; </w:t>
      </w:r>
    </w:p>
    <w:p w14:paraId="79463A56" w14:textId="77777777" w:rsidR="00AA6841" w:rsidRPr="00C238A9" w:rsidRDefault="00AA6841" w:rsidP="00AA6841">
      <w:pPr>
        <w:pStyle w:val="ListNumber2"/>
        <w:rPr>
          <w:rFonts w:cs="Arial"/>
          <w:color w:val="000000" w:themeColor="text1"/>
        </w:rPr>
      </w:pPr>
      <w:r w:rsidRPr="00C238A9">
        <w:rPr>
          <w:rFonts w:cs="Arial"/>
          <w:color w:val="000000" w:themeColor="text1"/>
        </w:rPr>
        <w:t>Termination of employment; and/or</w:t>
      </w:r>
    </w:p>
    <w:p w14:paraId="79463A57" w14:textId="77777777" w:rsidR="00AA6841" w:rsidRPr="00C238A9" w:rsidRDefault="00AA6841" w:rsidP="00AA6841">
      <w:pPr>
        <w:pStyle w:val="ListNumber2"/>
        <w:rPr>
          <w:rFonts w:cs="Arial"/>
          <w:color w:val="000000" w:themeColor="text1"/>
        </w:rPr>
      </w:pPr>
      <w:r w:rsidRPr="00C238A9">
        <w:rPr>
          <w:rFonts w:cs="Arial"/>
          <w:color w:val="000000" w:themeColor="text1"/>
        </w:rPr>
        <w:t>Legal action according to applicable laws and contractual agreements.</w:t>
      </w:r>
    </w:p>
    <w:p w14:paraId="79463A58" w14:textId="77777777" w:rsidR="00AA6841" w:rsidRPr="00C238A9" w:rsidRDefault="00AA6841" w:rsidP="00E64679">
      <w:pPr>
        <w:rPr>
          <w:rFonts w:cs="Arial"/>
        </w:rPr>
      </w:pPr>
    </w:p>
    <w:p w14:paraId="79463A59" w14:textId="77777777" w:rsidR="00AA6841" w:rsidRPr="00C238A9" w:rsidRDefault="00AA6841" w:rsidP="00E64679">
      <w:pPr>
        <w:rPr>
          <w:rFonts w:cs="Arial"/>
        </w:rPr>
      </w:pPr>
    </w:p>
    <w:p w14:paraId="79463A67" w14:textId="4C38AD73" w:rsidR="00B502A4" w:rsidRPr="00C238A9" w:rsidRDefault="00074E09">
      <w:pPr>
        <w:rPr>
          <w:rFonts w:cs="Arial"/>
          <w:color w:val="808080"/>
        </w:rPr>
      </w:pPr>
      <w:r>
        <w:rPr>
          <w:rFonts w:cs="Arial"/>
          <w:color w:val="808080"/>
        </w:rPr>
        <w:br/>
      </w:r>
      <w:r>
        <w:rPr>
          <w:rFonts w:cs="Arial"/>
          <w:color w:val="808080"/>
        </w:rPr>
        <w:br/>
      </w:r>
      <w:r>
        <w:rPr>
          <w:rFonts w:cs="Arial"/>
          <w:color w:val="808080"/>
        </w:rPr>
        <w:br/>
      </w:r>
    </w:p>
    <w:p w14:paraId="79463A68" w14:textId="77777777" w:rsidR="00B502A4" w:rsidRPr="00C238A9" w:rsidRDefault="00B502A4" w:rsidP="00B502A4">
      <w:pPr>
        <w:pStyle w:val="Heading1"/>
      </w:pPr>
      <w:r w:rsidRPr="00C238A9">
        <w:lastRenderedPageBreak/>
        <w:t>Revision History</w:t>
      </w:r>
    </w:p>
    <w:p w14:paraId="79463A69" w14:textId="77777777" w:rsidR="00AA6841" w:rsidRPr="00C238A9"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C238A9" w14:paraId="79463A6E" w14:textId="77777777" w:rsidTr="00B502A4">
        <w:tc>
          <w:tcPr>
            <w:tcW w:w="1809" w:type="dxa"/>
            <w:shd w:val="clear" w:color="auto" w:fill="DDDECE"/>
          </w:tcPr>
          <w:p w14:paraId="79463A6A" w14:textId="77777777" w:rsidR="00B502A4" w:rsidRPr="00C238A9" w:rsidRDefault="00B502A4" w:rsidP="00095326">
            <w:pPr>
              <w:jc w:val="center"/>
              <w:rPr>
                <w:rFonts w:cs="Arial"/>
                <w:b/>
              </w:rPr>
            </w:pPr>
            <w:r w:rsidRPr="00C238A9">
              <w:rPr>
                <w:rFonts w:cs="Arial"/>
                <w:b/>
              </w:rPr>
              <w:t>Version ID</w:t>
            </w:r>
          </w:p>
        </w:tc>
        <w:tc>
          <w:tcPr>
            <w:tcW w:w="1701" w:type="dxa"/>
            <w:shd w:val="clear" w:color="auto" w:fill="DDDECE"/>
          </w:tcPr>
          <w:p w14:paraId="79463A6B" w14:textId="77777777" w:rsidR="00B502A4" w:rsidRPr="00C238A9" w:rsidRDefault="00B502A4" w:rsidP="00095326">
            <w:pPr>
              <w:jc w:val="center"/>
              <w:rPr>
                <w:rFonts w:cs="Arial"/>
                <w:b/>
              </w:rPr>
            </w:pPr>
            <w:r w:rsidRPr="00C238A9">
              <w:rPr>
                <w:rFonts w:cs="Arial"/>
                <w:b/>
              </w:rPr>
              <w:t>Date of Change</w:t>
            </w:r>
          </w:p>
        </w:tc>
        <w:tc>
          <w:tcPr>
            <w:tcW w:w="4204" w:type="dxa"/>
            <w:shd w:val="clear" w:color="auto" w:fill="DDDECE"/>
          </w:tcPr>
          <w:p w14:paraId="79463A6C" w14:textId="77777777" w:rsidR="00B502A4" w:rsidRPr="00C238A9" w:rsidRDefault="00B502A4" w:rsidP="00095326">
            <w:pPr>
              <w:jc w:val="center"/>
              <w:rPr>
                <w:rFonts w:cs="Arial"/>
                <w:b/>
              </w:rPr>
            </w:pPr>
            <w:r w:rsidRPr="00C238A9">
              <w:rPr>
                <w:rFonts w:cs="Arial"/>
                <w:b/>
              </w:rPr>
              <w:t>Author</w:t>
            </w:r>
          </w:p>
        </w:tc>
        <w:tc>
          <w:tcPr>
            <w:tcW w:w="2576" w:type="dxa"/>
            <w:shd w:val="clear" w:color="auto" w:fill="DDDECE"/>
          </w:tcPr>
          <w:p w14:paraId="79463A6D" w14:textId="77777777" w:rsidR="00B502A4" w:rsidRPr="00C238A9" w:rsidRDefault="00B502A4" w:rsidP="00095326">
            <w:pPr>
              <w:jc w:val="center"/>
              <w:rPr>
                <w:rFonts w:cs="Arial"/>
                <w:b/>
              </w:rPr>
            </w:pPr>
            <w:r w:rsidRPr="00C238A9">
              <w:rPr>
                <w:rFonts w:cs="Arial"/>
                <w:b/>
              </w:rPr>
              <w:t>Rationale</w:t>
            </w:r>
          </w:p>
        </w:tc>
      </w:tr>
      <w:tr w:rsidR="00B502A4" w:rsidRPr="00C238A9" w14:paraId="79463A73" w14:textId="77777777" w:rsidTr="00B502A4">
        <w:tc>
          <w:tcPr>
            <w:tcW w:w="1809" w:type="dxa"/>
            <w:shd w:val="clear" w:color="auto" w:fill="auto"/>
          </w:tcPr>
          <w:p w14:paraId="79463A6F" w14:textId="77777777" w:rsidR="00B502A4" w:rsidRPr="00C238A9" w:rsidRDefault="00B502A4" w:rsidP="00095326">
            <w:pPr>
              <w:rPr>
                <w:rFonts w:cs="Arial"/>
              </w:rPr>
            </w:pPr>
          </w:p>
        </w:tc>
        <w:tc>
          <w:tcPr>
            <w:tcW w:w="1701" w:type="dxa"/>
            <w:shd w:val="clear" w:color="auto" w:fill="auto"/>
          </w:tcPr>
          <w:p w14:paraId="79463A70" w14:textId="77777777" w:rsidR="00B502A4" w:rsidRPr="00C238A9" w:rsidRDefault="00B502A4" w:rsidP="00095326">
            <w:pPr>
              <w:rPr>
                <w:rFonts w:cs="Arial"/>
              </w:rPr>
            </w:pPr>
          </w:p>
        </w:tc>
        <w:tc>
          <w:tcPr>
            <w:tcW w:w="4204" w:type="dxa"/>
            <w:shd w:val="clear" w:color="auto" w:fill="auto"/>
          </w:tcPr>
          <w:p w14:paraId="79463A71" w14:textId="77777777" w:rsidR="00B502A4" w:rsidRPr="00C238A9" w:rsidRDefault="00B502A4" w:rsidP="00095326">
            <w:pPr>
              <w:rPr>
                <w:rFonts w:cs="Arial"/>
              </w:rPr>
            </w:pPr>
          </w:p>
        </w:tc>
        <w:tc>
          <w:tcPr>
            <w:tcW w:w="2576" w:type="dxa"/>
            <w:shd w:val="clear" w:color="auto" w:fill="auto"/>
          </w:tcPr>
          <w:p w14:paraId="79463A72" w14:textId="77777777" w:rsidR="00B502A4" w:rsidRPr="00C238A9" w:rsidRDefault="00B502A4" w:rsidP="00095326">
            <w:pPr>
              <w:rPr>
                <w:rFonts w:cs="Arial"/>
              </w:rPr>
            </w:pPr>
          </w:p>
        </w:tc>
      </w:tr>
      <w:tr w:rsidR="00B502A4" w:rsidRPr="00C238A9" w14:paraId="79463A78" w14:textId="77777777" w:rsidTr="00B502A4">
        <w:tc>
          <w:tcPr>
            <w:tcW w:w="1809" w:type="dxa"/>
            <w:shd w:val="clear" w:color="auto" w:fill="auto"/>
          </w:tcPr>
          <w:p w14:paraId="79463A74" w14:textId="77777777" w:rsidR="00B502A4" w:rsidRPr="00C238A9" w:rsidRDefault="00B502A4" w:rsidP="00095326">
            <w:pPr>
              <w:rPr>
                <w:rFonts w:cs="Arial"/>
              </w:rPr>
            </w:pPr>
          </w:p>
        </w:tc>
        <w:tc>
          <w:tcPr>
            <w:tcW w:w="1701" w:type="dxa"/>
            <w:shd w:val="clear" w:color="auto" w:fill="auto"/>
          </w:tcPr>
          <w:p w14:paraId="79463A75" w14:textId="77777777" w:rsidR="00B502A4" w:rsidRPr="00C238A9" w:rsidRDefault="00B502A4" w:rsidP="00095326">
            <w:pPr>
              <w:rPr>
                <w:rFonts w:cs="Arial"/>
              </w:rPr>
            </w:pPr>
          </w:p>
        </w:tc>
        <w:tc>
          <w:tcPr>
            <w:tcW w:w="4204" w:type="dxa"/>
            <w:shd w:val="clear" w:color="auto" w:fill="auto"/>
          </w:tcPr>
          <w:p w14:paraId="79463A76" w14:textId="77777777" w:rsidR="00B502A4" w:rsidRPr="00C238A9" w:rsidRDefault="00B502A4" w:rsidP="00095326">
            <w:pPr>
              <w:rPr>
                <w:rFonts w:cs="Arial"/>
              </w:rPr>
            </w:pPr>
          </w:p>
        </w:tc>
        <w:tc>
          <w:tcPr>
            <w:tcW w:w="2576" w:type="dxa"/>
            <w:shd w:val="clear" w:color="auto" w:fill="auto"/>
          </w:tcPr>
          <w:p w14:paraId="79463A77" w14:textId="77777777" w:rsidR="00B502A4" w:rsidRPr="00C238A9" w:rsidRDefault="00B502A4" w:rsidP="00095326">
            <w:pPr>
              <w:rPr>
                <w:rFonts w:cs="Arial"/>
              </w:rPr>
            </w:pPr>
          </w:p>
        </w:tc>
      </w:tr>
      <w:tr w:rsidR="00B502A4" w:rsidRPr="00C238A9" w14:paraId="79463A7D" w14:textId="77777777" w:rsidTr="00B502A4">
        <w:tc>
          <w:tcPr>
            <w:tcW w:w="1809" w:type="dxa"/>
            <w:shd w:val="clear" w:color="auto" w:fill="auto"/>
          </w:tcPr>
          <w:p w14:paraId="79463A79" w14:textId="77777777" w:rsidR="00B502A4" w:rsidRPr="00C238A9" w:rsidRDefault="00B502A4" w:rsidP="00095326">
            <w:pPr>
              <w:rPr>
                <w:rFonts w:cs="Arial"/>
              </w:rPr>
            </w:pPr>
          </w:p>
        </w:tc>
        <w:tc>
          <w:tcPr>
            <w:tcW w:w="1701" w:type="dxa"/>
            <w:shd w:val="clear" w:color="auto" w:fill="auto"/>
          </w:tcPr>
          <w:p w14:paraId="79463A7A" w14:textId="77777777" w:rsidR="00B502A4" w:rsidRPr="00C238A9" w:rsidRDefault="00B502A4" w:rsidP="00095326">
            <w:pPr>
              <w:rPr>
                <w:rFonts w:cs="Arial"/>
              </w:rPr>
            </w:pPr>
          </w:p>
        </w:tc>
        <w:tc>
          <w:tcPr>
            <w:tcW w:w="4204" w:type="dxa"/>
            <w:shd w:val="clear" w:color="auto" w:fill="auto"/>
          </w:tcPr>
          <w:p w14:paraId="79463A7B" w14:textId="77777777" w:rsidR="00B502A4" w:rsidRPr="00C238A9" w:rsidRDefault="00B502A4" w:rsidP="00095326">
            <w:pPr>
              <w:rPr>
                <w:rFonts w:cs="Arial"/>
              </w:rPr>
            </w:pPr>
          </w:p>
        </w:tc>
        <w:tc>
          <w:tcPr>
            <w:tcW w:w="2576" w:type="dxa"/>
            <w:shd w:val="clear" w:color="auto" w:fill="auto"/>
          </w:tcPr>
          <w:p w14:paraId="79463A7C" w14:textId="77777777" w:rsidR="00B502A4" w:rsidRPr="00C238A9" w:rsidRDefault="00B502A4" w:rsidP="00095326">
            <w:pPr>
              <w:rPr>
                <w:rFonts w:cs="Arial"/>
              </w:rPr>
            </w:pPr>
          </w:p>
        </w:tc>
      </w:tr>
      <w:tr w:rsidR="00B502A4" w:rsidRPr="00C238A9" w14:paraId="79463A82" w14:textId="77777777" w:rsidTr="00B502A4">
        <w:tc>
          <w:tcPr>
            <w:tcW w:w="1809" w:type="dxa"/>
            <w:shd w:val="clear" w:color="auto" w:fill="auto"/>
          </w:tcPr>
          <w:p w14:paraId="79463A7E" w14:textId="77777777" w:rsidR="00B502A4" w:rsidRPr="00C238A9" w:rsidRDefault="00B502A4" w:rsidP="00095326">
            <w:pPr>
              <w:rPr>
                <w:rFonts w:cs="Arial"/>
              </w:rPr>
            </w:pPr>
          </w:p>
        </w:tc>
        <w:tc>
          <w:tcPr>
            <w:tcW w:w="1701" w:type="dxa"/>
            <w:shd w:val="clear" w:color="auto" w:fill="auto"/>
          </w:tcPr>
          <w:p w14:paraId="79463A7F" w14:textId="77777777" w:rsidR="00B502A4" w:rsidRPr="00C238A9" w:rsidRDefault="00B502A4" w:rsidP="00095326">
            <w:pPr>
              <w:rPr>
                <w:rFonts w:cs="Arial"/>
              </w:rPr>
            </w:pPr>
          </w:p>
        </w:tc>
        <w:tc>
          <w:tcPr>
            <w:tcW w:w="4204" w:type="dxa"/>
            <w:shd w:val="clear" w:color="auto" w:fill="auto"/>
          </w:tcPr>
          <w:p w14:paraId="79463A80" w14:textId="77777777" w:rsidR="00B502A4" w:rsidRPr="00C238A9" w:rsidRDefault="00B502A4" w:rsidP="00095326">
            <w:pPr>
              <w:rPr>
                <w:rFonts w:cs="Arial"/>
              </w:rPr>
            </w:pPr>
          </w:p>
        </w:tc>
        <w:tc>
          <w:tcPr>
            <w:tcW w:w="2576" w:type="dxa"/>
            <w:shd w:val="clear" w:color="auto" w:fill="auto"/>
          </w:tcPr>
          <w:p w14:paraId="79463A81" w14:textId="77777777" w:rsidR="00B502A4" w:rsidRPr="00C238A9" w:rsidRDefault="00B502A4" w:rsidP="00095326">
            <w:pPr>
              <w:rPr>
                <w:rFonts w:cs="Arial"/>
              </w:rPr>
            </w:pPr>
          </w:p>
        </w:tc>
      </w:tr>
      <w:tr w:rsidR="00B502A4" w:rsidRPr="00C238A9" w14:paraId="79463A87" w14:textId="77777777" w:rsidTr="00B502A4">
        <w:tc>
          <w:tcPr>
            <w:tcW w:w="1809" w:type="dxa"/>
            <w:shd w:val="clear" w:color="auto" w:fill="auto"/>
          </w:tcPr>
          <w:p w14:paraId="79463A83" w14:textId="77777777" w:rsidR="00B502A4" w:rsidRPr="00C238A9" w:rsidRDefault="00B502A4" w:rsidP="00095326">
            <w:pPr>
              <w:rPr>
                <w:rFonts w:cs="Arial"/>
              </w:rPr>
            </w:pPr>
          </w:p>
        </w:tc>
        <w:tc>
          <w:tcPr>
            <w:tcW w:w="1701" w:type="dxa"/>
            <w:shd w:val="clear" w:color="auto" w:fill="auto"/>
          </w:tcPr>
          <w:p w14:paraId="79463A84" w14:textId="77777777" w:rsidR="00B502A4" w:rsidRPr="00C238A9" w:rsidRDefault="00B502A4" w:rsidP="00095326">
            <w:pPr>
              <w:rPr>
                <w:rFonts w:cs="Arial"/>
              </w:rPr>
            </w:pPr>
          </w:p>
        </w:tc>
        <w:tc>
          <w:tcPr>
            <w:tcW w:w="4204" w:type="dxa"/>
            <w:shd w:val="clear" w:color="auto" w:fill="auto"/>
          </w:tcPr>
          <w:p w14:paraId="79463A85" w14:textId="77777777" w:rsidR="00B502A4" w:rsidRPr="00C238A9" w:rsidRDefault="00B502A4" w:rsidP="00095326">
            <w:pPr>
              <w:rPr>
                <w:rFonts w:cs="Arial"/>
              </w:rPr>
            </w:pPr>
          </w:p>
        </w:tc>
        <w:tc>
          <w:tcPr>
            <w:tcW w:w="2576" w:type="dxa"/>
            <w:shd w:val="clear" w:color="auto" w:fill="auto"/>
          </w:tcPr>
          <w:p w14:paraId="79463A86" w14:textId="77777777" w:rsidR="00B502A4" w:rsidRPr="00C238A9" w:rsidRDefault="00B502A4" w:rsidP="00095326">
            <w:pPr>
              <w:rPr>
                <w:rFonts w:cs="Arial"/>
              </w:rPr>
            </w:pPr>
          </w:p>
        </w:tc>
      </w:tr>
    </w:tbl>
    <w:p w14:paraId="79463A88" w14:textId="77777777" w:rsidR="00B502A4" w:rsidRPr="00C238A9" w:rsidRDefault="00B502A4" w:rsidP="00B502A4">
      <w:pPr>
        <w:rPr>
          <w:rFonts w:cs="Arial"/>
        </w:rPr>
      </w:pPr>
    </w:p>
    <w:p w14:paraId="79463A8D" w14:textId="77777777" w:rsidR="00212E88" w:rsidRPr="00C238A9" w:rsidRDefault="00212E88" w:rsidP="008F3CD7">
      <w:pPr>
        <w:jc w:val="center"/>
        <w:rPr>
          <w:rFonts w:cs="Arial"/>
          <w:szCs w:val="20"/>
        </w:rPr>
      </w:pPr>
      <w:bookmarkStart w:id="0" w:name="_GoBack"/>
      <w:bookmarkEnd w:id="0"/>
    </w:p>
    <w:sectPr w:rsidR="00212E88" w:rsidRPr="00C238A9" w:rsidSect="00074E09">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75B08" w14:textId="77777777" w:rsidR="00161AEC" w:rsidRDefault="00161AEC">
      <w:r>
        <w:separator/>
      </w:r>
    </w:p>
  </w:endnote>
  <w:endnote w:type="continuationSeparator" w:id="0">
    <w:p w14:paraId="3657E1DB" w14:textId="77777777" w:rsidR="00161AEC" w:rsidRDefault="001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8B003" w14:textId="77777777" w:rsidR="00161AEC" w:rsidRDefault="00161AEC">
      <w:r>
        <w:separator/>
      </w:r>
    </w:p>
  </w:footnote>
  <w:footnote w:type="continuationSeparator" w:id="0">
    <w:p w14:paraId="3763C2A6" w14:textId="77777777" w:rsidR="00161AEC" w:rsidRDefault="00161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3A92" w14:textId="62CB8BA2"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ED23A89"/>
    <w:multiLevelType w:val="hybridMultilevel"/>
    <w:tmpl w:val="B9EAD08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87058"/>
    <w:multiLevelType w:val="hybridMultilevel"/>
    <w:tmpl w:val="32843E1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nsid w:val="6E587323"/>
    <w:multiLevelType w:val="hybridMultilevel"/>
    <w:tmpl w:val="CBA89DB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0"/>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29CF"/>
    <w:rsid w:val="00026ACB"/>
    <w:rsid w:val="00074E09"/>
    <w:rsid w:val="000B48DB"/>
    <w:rsid w:val="000F62E3"/>
    <w:rsid w:val="00101A2D"/>
    <w:rsid w:val="001123D5"/>
    <w:rsid w:val="00134035"/>
    <w:rsid w:val="00145681"/>
    <w:rsid w:val="00161AEC"/>
    <w:rsid w:val="00186D07"/>
    <w:rsid w:val="001D5C1E"/>
    <w:rsid w:val="00212E88"/>
    <w:rsid w:val="00222174"/>
    <w:rsid w:val="002B5E4F"/>
    <w:rsid w:val="002D034A"/>
    <w:rsid w:val="002D47F6"/>
    <w:rsid w:val="003018D3"/>
    <w:rsid w:val="00303D6C"/>
    <w:rsid w:val="003331A9"/>
    <w:rsid w:val="003404E3"/>
    <w:rsid w:val="00352A14"/>
    <w:rsid w:val="00354A73"/>
    <w:rsid w:val="003D187A"/>
    <w:rsid w:val="004307CB"/>
    <w:rsid w:val="00432006"/>
    <w:rsid w:val="004371F3"/>
    <w:rsid w:val="0044200A"/>
    <w:rsid w:val="00480E89"/>
    <w:rsid w:val="004918FB"/>
    <w:rsid w:val="004D269E"/>
    <w:rsid w:val="004D32EB"/>
    <w:rsid w:val="005266E7"/>
    <w:rsid w:val="0054288B"/>
    <w:rsid w:val="00572EAF"/>
    <w:rsid w:val="005A3623"/>
    <w:rsid w:val="005B073C"/>
    <w:rsid w:val="00613C6B"/>
    <w:rsid w:val="00625F64"/>
    <w:rsid w:val="00636CD4"/>
    <w:rsid w:val="0066050C"/>
    <w:rsid w:val="00687F8E"/>
    <w:rsid w:val="006B66A1"/>
    <w:rsid w:val="006C19C9"/>
    <w:rsid w:val="006D629B"/>
    <w:rsid w:val="00701BB0"/>
    <w:rsid w:val="0072444D"/>
    <w:rsid w:val="007521AB"/>
    <w:rsid w:val="007547E6"/>
    <w:rsid w:val="007624CE"/>
    <w:rsid w:val="00797D60"/>
    <w:rsid w:val="007A545A"/>
    <w:rsid w:val="007A6042"/>
    <w:rsid w:val="007A6EC1"/>
    <w:rsid w:val="007B4ACB"/>
    <w:rsid w:val="007D03A1"/>
    <w:rsid w:val="007D06EE"/>
    <w:rsid w:val="007E5261"/>
    <w:rsid w:val="007F767E"/>
    <w:rsid w:val="00804A11"/>
    <w:rsid w:val="0081572D"/>
    <w:rsid w:val="00861438"/>
    <w:rsid w:val="00866FC1"/>
    <w:rsid w:val="008B4684"/>
    <w:rsid w:val="008C5E54"/>
    <w:rsid w:val="008D0C7B"/>
    <w:rsid w:val="008F3CD7"/>
    <w:rsid w:val="009113E0"/>
    <w:rsid w:val="00915C20"/>
    <w:rsid w:val="009420A3"/>
    <w:rsid w:val="0098731E"/>
    <w:rsid w:val="009E43CD"/>
    <w:rsid w:val="00A04749"/>
    <w:rsid w:val="00AA6841"/>
    <w:rsid w:val="00AE32EB"/>
    <w:rsid w:val="00B15BF5"/>
    <w:rsid w:val="00B502A4"/>
    <w:rsid w:val="00B61BC8"/>
    <w:rsid w:val="00B77AB1"/>
    <w:rsid w:val="00B93EF7"/>
    <w:rsid w:val="00BA5493"/>
    <w:rsid w:val="00BC1B91"/>
    <w:rsid w:val="00C238A9"/>
    <w:rsid w:val="00C24557"/>
    <w:rsid w:val="00C374C9"/>
    <w:rsid w:val="00C81438"/>
    <w:rsid w:val="00C8415D"/>
    <w:rsid w:val="00CA08B6"/>
    <w:rsid w:val="00CB51A4"/>
    <w:rsid w:val="00D020A7"/>
    <w:rsid w:val="00D206DA"/>
    <w:rsid w:val="00D2496C"/>
    <w:rsid w:val="00D27D32"/>
    <w:rsid w:val="00D4060E"/>
    <w:rsid w:val="00D7447B"/>
    <w:rsid w:val="00D76313"/>
    <w:rsid w:val="00DC143E"/>
    <w:rsid w:val="00DC319A"/>
    <w:rsid w:val="00DC7917"/>
    <w:rsid w:val="00DD068A"/>
    <w:rsid w:val="00DE2AF1"/>
    <w:rsid w:val="00E64679"/>
    <w:rsid w:val="00E72B5D"/>
    <w:rsid w:val="00E83C56"/>
    <w:rsid w:val="00F3751B"/>
    <w:rsid w:val="00F47D2C"/>
    <w:rsid w:val="00FC0A49"/>
    <w:rsid w:val="00FC4E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46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CE89CF62-FBA9-2D48-8F1C-575CB3BB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2016-01-26T16:33:00Z</dcterms:created>
  <dcterms:modified xsi:type="dcterms:W3CDTF">2016-01-27T18:14:00Z</dcterms:modified>
</cp:coreProperties>
</file>