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7086" w14:textId="77777777" w:rsidR="00861438" w:rsidRPr="00861438" w:rsidRDefault="002B57BA" w:rsidP="00C8415D">
      <w:pPr>
        <w:pStyle w:val="Heading1"/>
        <w:rPr>
          <w:sz w:val="36"/>
          <w:szCs w:val="36"/>
        </w:rPr>
      </w:pPr>
      <w:r>
        <w:rPr>
          <w:sz w:val="36"/>
          <w:szCs w:val="36"/>
        </w:rPr>
        <w:t xml:space="preserve">Data Management </w:t>
      </w:r>
      <w:r w:rsidR="006B5956">
        <w:rPr>
          <w:sz w:val="36"/>
          <w:szCs w:val="36"/>
        </w:rPr>
        <w:t>Policy</w:t>
      </w:r>
    </w:p>
    <w:p w14:paraId="12C67087" w14:textId="77777777" w:rsidR="00E64679" w:rsidRDefault="00E64679" w:rsidP="004307CB">
      <w:pPr>
        <w:spacing w:before="60" w:after="60"/>
        <w:rPr>
          <w:color w:val="808080" w:themeColor="background1" w:themeShade="80"/>
        </w:rPr>
      </w:pPr>
    </w:p>
    <w:p w14:paraId="12C67088" w14:textId="3E4774B7" w:rsidR="00861438" w:rsidRDefault="004371F3" w:rsidP="004307CB">
      <w:pPr>
        <w:spacing w:before="60" w:after="60"/>
        <w:rPr>
          <w:color w:val="808080" w:themeColor="background1" w:themeShade="80"/>
        </w:rPr>
      </w:pPr>
      <w:r>
        <w:rPr>
          <w:color w:val="808080" w:themeColor="background1" w:themeShade="80"/>
        </w:rPr>
        <w:t xml:space="preserve">To use this </w:t>
      </w:r>
      <w:r w:rsidR="00025AFB">
        <w:rPr>
          <w:color w:val="808080" w:themeColor="background1" w:themeShade="80"/>
        </w:rPr>
        <w:t>template</w:t>
      </w:r>
      <w:r>
        <w:rPr>
          <w:color w:val="808080" w:themeColor="background1" w:themeShade="80"/>
        </w:rPr>
        <w:t>,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12C67089"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12C6708C" w14:textId="77777777" w:rsidTr="00E64679">
        <w:trPr>
          <w:trHeight w:val="283"/>
        </w:trPr>
        <w:tc>
          <w:tcPr>
            <w:tcW w:w="2446" w:type="dxa"/>
            <w:shd w:val="clear" w:color="auto" w:fill="DDDECE"/>
            <w:vAlign w:val="center"/>
          </w:tcPr>
          <w:p w14:paraId="12C6708A"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12C6708B"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12C6708F" w14:textId="77777777" w:rsidTr="00E64679">
        <w:trPr>
          <w:trHeight w:val="283"/>
        </w:trPr>
        <w:tc>
          <w:tcPr>
            <w:tcW w:w="2446" w:type="dxa"/>
            <w:shd w:val="clear" w:color="auto" w:fill="DDDECE"/>
            <w:vAlign w:val="center"/>
          </w:tcPr>
          <w:p w14:paraId="12C6708D"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12C6708E"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12C67092" w14:textId="77777777" w:rsidTr="00E64679">
        <w:trPr>
          <w:trHeight w:val="283"/>
        </w:trPr>
        <w:tc>
          <w:tcPr>
            <w:tcW w:w="2446" w:type="dxa"/>
            <w:shd w:val="clear" w:color="auto" w:fill="DDDECE"/>
            <w:vAlign w:val="center"/>
          </w:tcPr>
          <w:p w14:paraId="12C67090"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12C67091"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12C67095" w14:textId="77777777" w:rsidTr="00E64679">
        <w:trPr>
          <w:trHeight w:val="283"/>
        </w:trPr>
        <w:tc>
          <w:tcPr>
            <w:tcW w:w="2446" w:type="dxa"/>
            <w:shd w:val="clear" w:color="auto" w:fill="DDDECE"/>
            <w:vAlign w:val="center"/>
          </w:tcPr>
          <w:p w14:paraId="12C67093"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12C67094"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12C67098" w14:textId="77777777" w:rsidTr="00E64679">
        <w:trPr>
          <w:trHeight w:val="283"/>
        </w:trPr>
        <w:tc>
          <w:tcPr>
            <w:tcW w:w="2446" w:type="dxa"/>
            <w:shd w:val="clear" w:color="auto" w:fill="DDDECE"/>
            <w:vAlign w:val="center"/>
          </w:tcPr>
          <w:p w14:paraId="12C67096"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12C67097"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12C6709B" w14:textId="77777777" w:rsidTr="00E64679">
        <w:trPr>
          <w:trHeight w:val="283"/>
        </w:trPr>
        <w:tc>
          <w:tcPr>
            <w:tcW w:w="2446" w:type="dxa"/>
            <w:shd w:val="clear" w:color="auto" w:fill="DDDECE"/>
            <w:vAlign w:val="center"/>
          </w:tcPr>
          <w:p w14:paraId="12C67099"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12C6709A"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12C6709E" w14:textId="77777777" w:rsidTr="00E64679">
        <w:trPr>
          <w:trHeight w:val="283"/>
        </w:trPr>
        <w:tc>
          <w:tcPr>
            <w:tcW w:w="2446" w:type="dxa"/>
            <w:shd w:val="clear" w:color="auto" w:fill="DDDECE"/>
            <w:vAlign w:val="center"/>
          </w:tcPr>
          <w:p w14:paraId="12C6709C"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12C6709D" w14:textId="77777777" w:rsidR="00E64679" w:rsidRPr="003A5E67" w:rsidRDefault="00E64679" w:rsidP="00E64679">
            <w:pPr>
              <w:rPr>
                <w:color w:val="808080"/>
              </w:rPr>
            </w:pPr>
            <w:r w:rsidRPr="003A5E67">
              <w:rPr>
                <w:color w:val="808080"/>
              </w:rPr>
              <w:t>List the date that this policy must undergo review and update.</w:t>
            </w:r>
          </w:p>
        </w:tc>
      </w:tr>
    </w:tbl>
    <w:p w14:paraId="12C6709F" w14:textId="77777777" w:rsidR="00E64679" w:rsidRPr="004307CB" w:rsidRDefault="00E64679" w:rsidP="004307CB">
      <w:pPr>
        <w:spacing w:before="60" w:after="60"/>
        <w:rPr>
          <w:color w:val="808080" w:themeColor="background1" w:themeShade="80"/>
        </w:rPr>
      </w:pPr>
    </w:p>
    <w:p w14:paraId="12C670A0" w14:textId="77777777" w:rsidR="008B4684" w:rsidRDefault="00E64679" w:rsidP="008B4684">
      <w:pPr>
        <w:pStyle w:val="Heading1"/>
      </w:pPr>
      <w:r>
        <w:t>Purpose</w:t>
      </w:r>
    </w:p>
    <w:p w14:paraId="12C670A1"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12C670A2" w14:textId="77777777" w:rsidR="00E64679" w:rsidRDefault="00E64679" w:rsidP="00E64679">
      <w:pPr>
        <w:rPr>
          <w:color w:val="808080"/>
        </w:rPr>
      </w:pPr>
    </w:p>
    <w:p w14:paraId="12C670A3" w14:textId="714B4548" w:rsidR="00A01994" w:rsidRPr="00BB61AF" w:rsidRDefault="00A01994" w:rsidP="00A01994">
      <w:pPr>
        <w:pStyle w:val="NormalWeb"/>
        <w:shd w:val="clear" w:color="auto" w:fill="FFFFFF"/>
        <w:spacing w:before="0" w:beforeAutospacing="0" w:after="150" w:afterAutospacing="0" w:line="240" w:lineRule="atLeast"/>
        <w:ind w:right="150"/>
        <w:rPr>
          <w:rFonts w:ascii="Arial" w:hAnsi="Arial" w:cs="Arial"/>
          <w:sz w:val="20"/>
          <w:szCs w:val="20"/>
        </w:rPr>
      </w:pPr>
      <w:r w:rsidRPr="00BB61AF">
        <w:rPr>
          <w:rFonts w:ascii="Arial" w:hAnsi="Arial" w:cs="Arial"/>
          <w:sz w:val="20"/>
          <w:szCs w:val="20"/>
        </w:rPr>
        <w:t xml:space="preserve">This policy establishes uniform data management standards and identifies the shared responsibilities for assuring the integrity of the data and that it efficiently and effectively serves the needs of </w:t>
      </w:r>
      <w:r w:rsidRPr="00BB61AF">
        <w:rPr>
          <w:rFonts w:ascii="Arial" w:hAnsi="Arial" w:cs="Arial"/>
          <w:color w:val="808080"/>
          <w:sz w:val="20"/>
          <w:szCs w:val="20"/>
        </w:rPr>
        <w:t>[</w:t>
      </w:r>
      <w:r w:rsidR="00025AFB">
        <w:rPr>
          <w:rFonts w:ascii="Arial" w:hAnsi="Arial" w:cs="Arial"/>
          <w:color w:val="808080"/>
          <w:sz w:val="20"/>
          <w:szCs w:val="20"/>
        </w:rPr>
        <w:t>Company Name</w:t>
      </w:r>
      <w:r w:rsidRPr="00BB61AF">
        <w:rPr>
          <w:rFonts w:ascii="Arial" w:hAnsi="Arial" w:cs="Arial"/>
          <w:color w:val="808080"/>
          <w:sz w:val="20"/>
          <w:szCs w:val="20"/>
        </w:rPr>
        <w:t>]</w:t>
      </w:r>
      <w:r w:rsidRPr="00BB61AF">
        <w:rPr>
          <w:rFonts w:ascii="Arial" w:hAnsi="Arial" w:cs="Arial"/>
          <w:sz w:val="20"/>
          <w:szCs w:val="20"/>
        </w:rPr>
        <w:t xml:space="preserve">. </w:t>
      </w:r>
      <w:r w:rsidRPr="00BB61AF">
        <w:rPr>
          <w:rFonts w:ascii="Arial" w:hAnsi="Arial" w:cs="Arial"/>
          <w:color w:val="808080"/>
          <w:sz w:val="20"/>
          <w:szCs w:val="20"/>
        </w:rPr>
        <w:t>[</w:t>
      </w:r>
      <w:r w:rsidR="00025AFB">
        <w:rPr>
          <w:rFonts w:ascii="Arial" w:hAnsi="Arial" w:cs="Arial"/>
          <w:color w:val="808080"/>
          <w:sz w:val="20"/>
          <w:szCs w:val="20"/>
        </w:rPr>
        <w:t>Company Name</w:t>
      </w:r>
      <w:r w:rsidRPr="00BB61AF">
        <w:rPr>
          <w:rFonts w:ascii="Arial" w:hAnsi="Arial" w:cs="Arial"/>
          <w:color w:val="808080"/>
          <w:sz w:val="20"/>
          <w:szCs w:val="20"/>
        </w:rPr>
        <w:t>]</w:t>
      </w:r>
      <w:r w:rsidRPr="00BB61AF">
        <w:rPr>
          <w:rFonts w:ascii="Arial" w:hAnsi="Arial" w:cs="Arial"/>
          <w:sz w:val="20"/>
          <w:szCs w:val="20"/>
        </w:rPr>
        <w:t xml:space="preserve"> values access to, and the timeliness</w:t>
      </w:r>
      <w:r>
        <w:rPr>
          <w:rFonts w:ascii="Arial" w:hAnsi="Arial" w:cs="Arial"/>
          <w:sz w:val="20"/>
          <w:szCs w:val="20"/>
        </w:rPr>
        <w:t xml:space="preserve">, accuracy, and consistency of </w:t>
      </w:r>
      <w:r w:rsidRPr="00BB61AF">
        <w:rPr>
          <w:rFonts w:ascii="Arial" w:hAnsi="Arial" w:cs="Arial"/>
          <w:sz w:val="20"/>
          <w:szCs w:val="20"/>
        </w:rPr>
        <w:t>information, while fully appreciating the basic security and privacy requirements involved. Controlled access by employees to administrative information is necessary in order to support business functions.</w:t>
      </w:r>
    </w:p>
    <w:p w14:paraId="12C670A4" w14:textId="77777777" w:rsidR="00A01994" w:rsidRDefault="00A01994" w:rsidP="00E64679">
      <w:pPr>
        <w:pStyle w:val="Heading1"/>
        <w:rPr>
          <w:rFonts w:cs="Times New Roman"/>
          <w:b w:val="0"/>
          <w:bCs w:val="0"/>
          <w:kern w:val="0"/>
          <w:sz w:val="20"/>
          <w:szCs w:val="24"/>
        </w:rPr>
      </w:pPr>
    </w:p>
    <w:p w14:paraId="12C670A5" w14:textId="77777777" w:rsidR="00E64679" w:rsidRDefault="00E64679" w:rsidP="00E64679">
      <w:pPr>
        <w:pStyle w:val="Heading1"/>
      </w:pPr>
      <w:r>
        <w:t>Scope</w:t>
      </w:r>
    </w:p>
    <w:p w14:paraId="12C670A6" w14:textId="435609EC"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w:t>
      </w:r>
      <w:proofErr w:type="gramStart"/>
      <w:r>
        <w:rPr>
          <w:color w:val="808080"/>
        </w:rPr>
        <w:t>all</w:t>
      </w:r>
      <w:proofErr w:type="gramEnd"/>
      <w:r>
        <w:rPr>
          <w:color w:val="808080"/>
        </w:rPr>
        <w:t>” if all must comply. Also indicate any exclusions or exceptions</w:t>
      </w:r>
      <w:r w:rsidR="00335395">
        <w:rPr>
          <w:color w:val="808080"/>
        </w:rPr>
        <w:t>,</w:t>
      </w:r>
      <w:r>
        <w:rPr>
          <w:color w:val="808080"/>
        </w:rPr>
        <w:t xml:space="preserve"> i.e. those people, elements</w:t>
      </w:r>
      <w:r w:rsidR="00335395">
        <w:rPr>
          <w:color w:val="808080"/>
        </w:rPr>
        <w:t>,</w:t>
      </w:r>
      <w:r>
        <w:rPr>
          <w:color w:val="808080"/>
        </w:rPr>
        <w:t xml:space="preserve"> or situations that are not covered by this policy or where special consideration may be made.</w:t>
      </w:r>
    </w:p>
    <w:p w14:paraId="12C670A7" w14:textId="77777777" w:rsidR="00E64679" w:rsidRDefault="00E64679" w:rsidP="00E64679">
      <w:pPr>
        <w:rPr>
          <w:color w:val="808080"/>
        </w:rPr>
      </w:pPr>
    </w:p>
    <w:p w14:paraId="12C670A8" w14:textId="731CAAB8" w:rsidR="00A01994" w:rsidRPr="00BB61AF" w:rsidRDefault="00A01994" w:rsidP="00A01994">
      <w:pPr>
        <w:pStyle w:val="SoKPolicySecondLevelContent"/>
        <w:numPr>
          <w:ilvl w:val="0"/>
          <w:numId w:val="14"/>
        </w:numPr>
        <w:tabs>
          <w:tab w:val="clear" w:pos="1608"/>
          <w:tab w:val="num" w:pos="714"/>
        </w:tabs>
        <w:ind w:left="720"/>
        <w:rPr>
          <w:rFonts w:ascii="Arial" w:hAnsi="Arial" w:cs="Arial"/>
          <w:sz w:val="20"/>
        </w:rPr>
      </w:pPr>
      <w:r w:rsidRPr="00BB61AF">
        <w:rPr>
          <w:rFonts w:ascii="Arial" w:hAnsi="Arial" w:cs="Arial"/>
          <w:sz w:val="20"/>
        </w:rPr>
        <w:t xml:space="preserve">This policy applies to all critical data in </w:t>
      </w:r>
      <w:r w:rsidRPr="00BB61AF">
        <w:rPr>
          <w:rFonts w:ascii="Arial" w:hAnsi="Arial" w:cs="Arial"/>
          <w:color w:val="808080"/>
          <w:sz w:val="20"/>
        </w:rPr>
        <w:t>[</w:t>
      </w:r>
      <w:r w:rsidR="00025AFB">
        <w:rPr>
          <w:rFonts w:ascii="Arial" w:hAnsi="Arial" w:cs="Arial"/>
          <w:color w:val="808080"/>
          <w:sz w:val="20"/>
        </w:rPr>
        <w:t>Company Name</w:t>
      </w:r>
      <w:r w:rsidRPr="00BB61AF">
        <w:rPr>
          <w:rFonts w:ascii="Arial" w:hAnsi="Arial" w:cs="Arial"/>
          <w:color w:val="808080"/>
          <w:sz w:val="20"/>
        </w:rPr>
        <w:t>]</w:t>
      </w:r>
      <w:r w:rsidRPr="00BB61AF">
        <w:rPr>
          <w:rFonts w:ascii="Arial" w:hAnsi="Arial" w:cs="Arial"/>
          <w:sz w:val="20"/>
        </w:rPr>
        <w:t xml:space="preserve">, including data outside of </w:t>
      </w:r>
      <w:r w:rsidRPr="005D7353">
        <w:rPr>
          <w:rFonts w:ascii="Arial" w:hAnsi="Arial" w:cs="Arial"/>
          <w:color w:val="808080"/>
          <w:sz w:val="20"/>
        </w:rPr>
        <w:t>[</w:t>
      </w:r>
      <w:r w:rsidR="00025AFB">
        <w:rPr>
          <w:rFonts w:ascii="Arial" w:hAnsi="Arial" w:cs="Arial"/>
          <w:color w:val="808080"/>
          <w:sz w:val="20"/>
        </w:rPr>
        <w:t>Company Name</w:t>
      </w:r>
      <w:r w:rsidRPr="005D7353">
        <w:rPr>
          <w:rFonts w:ascii="Arial" w:hAnsi="Arial" w:cs="Arial"/>
          <w:color w:val="808080"/>
          <w:sz w:val="20"/>
        </w:rPr>
        <w:t>]</w:t>
      </w:r>
      <w:r>
        <w:rPr>
          <w:rFonts w:ascii="Arial" w:hAnsi="Arial" w:cs="Arial"/>
          <w:sz w:val="20"/>
        </w:rPr>
        <w:t xml:space="preserve"> stored in a c</w:t>
      </w:r>
      <w:r w:rsidRPr="00BB61AF">
        <w:rPr>
          <w:rFonts w:ascii="Arial" w:hAnsi="Arial" w:cs="Arial"/>
          <w:sz w:val="20"/>
        </w:rPr>
        <w:t>loud service. “Critical d</w:t>
      </w:r>
      <w:r>
        <w:rPr>
          <w:rFonts w:ascii="Arial" w:hAnsi="Arial" w:cs="Arial"/>
          <w:sz w:val="20"/>
        </w:rPr>
        <w:t>ata,”</w:t>
      </w:r>
      <w:r w:rsidRPr="00BB61AF">
        <w:rPr>
          <w:rFonts w:ascii="Arial" w:hAnsi="Arial" w:cs="Arial"/>
          <w:sz w:val="20"/>
        </w:rPr>
        <w:t xml:space="preserve"> in this context, includes email, personal and shared files, specific databases and web contents, and operating systems. The definition of critical data, and scope of this policy, will be reviewed on an annual basis.</w:t>
      </w:r>
    </w:p>
    <w:p w14:paraId="12C670A9" w14:textId="31C10C78" w:rsidR="00A01994" w:rsidRPr="00BB61AF" w:rsidRDefault="00A01994" w:rsidP="00A01994">
      <w:pPr>
        <w:pStyle w:val="SoKPolicySecondLevelContent"/>
        <w:numPr>
          <w:ilvl w:val="0"/>
          <w:numId w:val="14"/>
        </w:numPr>
        <w:tabs>
          <w:tab w:val="clear" w:pos="1608"/>
          <w:tab w:val="num" w:pos="714"/>
        </w:tabs>
        <w:ind w:left="720"/>
        <w:rPr>
          <w:rFonts w:ascii="Arial" w:hAnsi="Arial" w:cs="Arial"/>
          <w:sz w:val="20"/>
        </w:rPr>
      </w:pPr>
      <w:r w:rsidRPr="00BB61AF">
        <w:rPr>
          <w:rFonts w:ascii="Arial" w:hAnsi="Arial" w:cs="Arial"/>
          <w:sz w:val="20"/>
        </w:rPr>
        <w:t xml:space="preserve">This policy applies to </w:t>
      </w:r>
      <w:r w:rsidRPr="00A01994">
        <w:rPr>
          <w:rFonts w:ascii="Arial" w:hAnsi="Arial" w:cs="Arial"/>
          <w:color w:val="767171" w:themeColor="background2" w:themeShade="80"/>
          <w:sz w:val="20"/>
        </w:rPr>
        <w:t>[</w:t>
      </w:r>
      <w:r w:rsidRPr="00BB61AF">
        <w:rPr>
          <w:rFonts w:ascii="Arial" w:hAnsi="Arial" w:cs="Arial"/>
          <w:color w:val="808080"/>
          <w:sz w:val="20"/>
        </w:rPr>
        <w:t>staff</w:t>
      </w:r>
      <w:r>
        <w:rPr>
          <w:rFonts w:ascii="Arial" w:hAnsi="Arial" w:cs="Arial"/>
          <w:color w:val="808080"/>
          <w:sz w:val="20"/>
        </w:rPr>
        <w:t>]</w:t>
      </w:r>
      <w:r w:rsidRPr="00BB61AF">
        <w:rPr>
          <w:rFonts w:ascii="Arial" w:hAnsi="Arial" w:cs="Arial"/>
          <w:sz w:val="20"/>
        </w:rPr>
        <w:t xml:space="preserve"> who may be creators and/or users of such data. The policy also applies to third parties who access and use </w:t>
      </w:r>
      <w:r w:rsidRPr="00BB61AF">
        <w:rPr>
          <w:rFonts w:ascii="Arial" w:hAnsi="Arial" w:cs="Arial"/>
          <w:color w:val="808080"/>
          <w:sz w:val="20"/>
        </w:rPr>
        <w:t>[</w:t>
      </w:r>
      <w:r w:rsidR="00025AFB">
        <w:rPr>
          <w:rFonts w:ascii="Arial" w:hAnsi="Arial" w:cs="Arial"/>
          <w:color w:val="808080"/>
          <w:sz w:val="20"/>
        </w:rPr>
        <w:t>Company Name</w:t>
      </w:r>
      <w:r w:rsidRPr="00BB61AF">
        <w:rPr>
          <w:rFonts w:ascii="Arial" w:hAnsi="Arial" w:cs="Arial"/>
          <w:color w:val="808080"/>
          <w:sz w:val="20"/>
        </w:rPr>
        <w:t>]</w:t>
      </w:r>
      <w:r w:rsidRPr="00BB61AF">
        <w:rPr>
          <w:rFonts w:ascii="Arial" w:hAnsi="Arial" w:cs="Arial"/>
          <w:sz w:val="20"/>
        </w:rPr>
        <w:t xml:space="preserve"> systems and IT equipment or who create, process</w:t>
      </w:r>
      <w:r>
        <w:rPr>
          <w:rFonts w:ascii="Arial" w:hAnsi="Arial" w:cs="Arial"/>
          <w:sz w:val="20"/>
        </w:rPr>
        <w:t>,</w:t>
      </w:r>
      <w:r w:rsidRPr="00BB61AF">
        <w:rPr>
          <w:rFonts w:ascii="Arial" w:hAnsi="Arial" w:cs="Arial"/>
          <w:sz w:val="20"/>
        </w:rPr>
        <w:t xml:space="preserve"> or store data owned by </w:t>
      </w:r>
      <w:r w:rsidRPr="00BB61AF">
        <w:rPr>
          <w:rFonts w:ascii="Arial" w:hAnsi="Arial" w:cs="Arial"/>
          <w:color w:val="808080"/>
          <w:sz w:val="20"/>
        </w:rPr>
        <w:t>[</w:t>
      </w:r>
      <w:r w:rsidR="00025AFB">
        <w:rPr>
          <w:rFonts w:ascii="Arial" w:hAnsi="Arial" w:cs="Arial"/>
          <w:color w:val="808080"/>
          <w:sz w:val="20"/>
        </w:rPr>
        <w:t>Company Name</w:t>
      </w:r>
      <w:r w:rsidRPr="00BB61AF">
        <w:rPr>
          <w:rFonts w:ascii="Arial" w:hAnsi="Arial" w:cs="Arial"/>
          <w:color w:val="808080"/>
          <w:sz w:val="20"/>
        </w:rPr>
        <w:t>]</w:t>
      </w:r>
      <w:r w:rsidRPr="00BB61AF">
        <w:rPr>
          <w:rFonts w:ascii="Arial" w:hAnsi="Arial" w:cs="Arial"/>
          <w:sz w:val="20"/>
        </w:rPr>
        <w:t xml:space="preserve">. </w:t>
      </w:r>
    </w:p>
    <w:p w14:paraId="12C670AA" w14:textId="77777777" w:rsidR="00B502A4" w:rsidRDefault="00B502A4" w:rsidP="00E64679">
      <w:pPr>
        <w:rPr>
          <w:color w:val="000000" w:themeColor="text1"/>
        </w:rPr>
      </w:pPr>
    </w:p>
    <w:p w14:paraId="12C670AB" w14:textId="77777777" w:rsidR="00B502A4" w:rsidRDefault="00B502A4" w:rsidP="00B502A4">
      <w:pPr>
        <w:pStyle w:val="Heading1"/>
      </w:pPr>
      <w:r>
        <w:t>Definitions</w:t>
      </w:r>
    </w:p>
    <w:p w14:paraId="12C670AC" w14:textId="56C7730E" w:rsidR="00B502A4" w:rsidRDefault="00B502A4" w:rsidP="00B502A4">
      <w:pPr>
        <w:rPr>
          <w:color w:val="808080"/>
        </w:rPr>
      </w:pPr>
      <w:r w:rsidRPr="00CB71A6">
        <w:rPr>
          <w:color w:val="808080"/>
        </w:rPr>
        <w:t>Define any key terms</w:t>
      </w:r>
      <w:r>
        <w:rPr>
          <w:color w:val="808080"/>
        </w:rPr>
        <w:t>, acronyms</w:t>
      </w:r>
      <w:r w:rsidR="00335395">
        <w:rPr>
          <w:color w:val="808080"/>
        </w:rPr>
        <w:t>,</w:t>
      </w:r>
      <w:r w:rsidRPr="00CB71A6">
        <w:rPr>
          <w:color w:val="808080"/>
        </w:rPr>
        <w:t xml:space="preserve"> or concepts that will be used in the policy.</w:t>
      </w:r>
      <w:r>
        <w:rPr>
          <w:color w:val="808080"/>
        </w:rPr>
        <w:t xml:space="preserve"> A standard glossary approach is sufficient.</w:t>
      </w:r>
    </w:p>
    <w:p w14:paraId="12C670AD" w14:textId="77777777" w:rsidR="00B502A4" w:rsidRDefault="00B502A4" w:rsidP="00B502A4">
      <w:pPr>
        <w:rPr>
          <w:color w:val="808080"/>
        </w:rPr>
      </w:pPr>
    </w:p>
    <w:p w14:paraId="12C670AE" w14:textId="77777777" w:rsidR="00B502A4" w:rsidRDefault="00B502A4" w:rsidP="00B502A4">
      <w:pPr>
        <w:pStyle w:val="Heading1"/>
      </w:pPr>
      <w:r>
        <w:lastRenderedPageBreak/>
        <w:t>Governing Laws &amp; Regulations</w:t>
      </w:r>
    </w:p>
    <w:p w14:paraId="12C670AF"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12C670B0" w14:textId="77777777" w:rsidR="00DC1141" w:rsidRPr="00CB71A6" w:rsidRDefault="00DC1141" w:rsidP="00B502A4">
      <w:pPr>
        <w:rPr>
          <w:color w:val="808080"/>
        </w:rPr>
      </w:pPr>
    </w:p>
    <w:p w14:paraId="12C670B1" w14:textId="77777777" w:rsidR="00B502A4" w:rsidRDefault="00B502A4" w:rsidP="00B502A4">
      <w:pPr>
        <w:pStyle w:val="Heading1"/>
      </w:pPr>
      <w:r>
        <w:t>Policy Statements</w:t>
      </w:r>
    </w:p>
    <w:p w14:paraId="12C670B2"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12C670B3" w14:textId="77777777" w:rsidR="00B502A4" w:rsidRDefault="00B502A4" w:rsidP="00B502A4">
      <w:pPr>
        <w:rPr>
          <w:color w:val="808080"/>
        </w:rPr>
      </w:pPr>
    </w:p>
    <w:p w14:paraId="12C670B4" w14:textId="61A91F63" w:rsidR="00A01994" w:rsidRDefault="00A01994" w:rsidP="006D7D2A">
      <w:pPr>
        <w:pStyle w:val="SoKPolicyThirdLevelContent"/>
        <w:numPr>
          <w:ilvl w:val="0"/>
          <w:numId w:val="15"/>
        </w:numPr>
        <w:tabs>
          <w:tab w:val="clear" w:pos="1980"/>
          <w:tab w:val="num" w:pos="720"/>
        </w:tabs>
        <w:ind w:left="720"/>
        <w:rPr>
          <w:rFonts w:ascii="Arial" w:hAnsi="Arial" w:cs="Arial"/>
          <w:sz w:val="20"/>
        </w:rPr>
      </w:pPr>
      <w:r w:rsidRPr="00BB61AF">
        <w:rPr>
          <w:rFonts w:ascii="Arial" w:hAnsi="Arial" w:cs="Arial"/>
          <w:sz w:val="20"/>
        </w:rPr>
        <w:t xml:space="preserve">All corporate data is owned by </w:t>
      </w:r>
      <w:r w:rsidRPr="00BB61AF">
        <w:rPr>
          <w:rFonts w:ascii="Arial" w:hAnsi="Arial" w:cs="Arial"/>
          <w:color w:val="808080"/>
          <w:sz w:val="20"/>
        </w:rPr>
        <w:t>[</w:t>
      </w:r>
      <w:r w:rsidR="00025AFB">
        <w:rPr>
          <w:rFonts w:ascii="Arial" w:hAnsi="Arial" w:cs="Arial"/>
          <w:color w:val="808080"/>
          <w:sz w:val="20"/>
        </w:rPr>
        <w:t>Company Name</w:t>
      </w:r>
      <w:r w:rsidRPr="00BB61AF">
        <w:rPr>
          <w:rFonts w:ascii="Arial" w:hAnsi="Arial" w:cs="Arial"/>
          <w:color w:val="808080"/>
          <w:sz w:val="20"/>
        </w:rPr>
        <w:t>]</w:t>
      </w:r>
      <w:r w:rsidRPr="00BB61AF">
        <w:rPr>
          <w:rFonts w:ascii="Arial" w:hAnsi="Arial" w:cs="Arial"/>
          <w:sz w:val="20"/>
        </w:rPr>
        <w:t xml:space="preserve"> and, as such, all staff of </w:t>
      </w:r>
      <w:r w:rsidRPr="00BB61AF">
        <w:rPr>
          <w:rFonts w:ascii="Arial" w:hAnsi="Arial" w:cs="Arial"/>
          <w:color w:val="808080"/>
          <w:sz w:val="20"/>
        </w:rPr>
        <w:t>[</w:t>
      </w:r>
      <w:r w:rsidR="00025AFB">
        <w:rPr>
          <w:rFonts w:ascii="Arial" w:hAnsi="Arial" w:cs="Arial"/>
          <w:color w:val="808080"/>
          <w:sz w:val="20"/>
        </w:rPr>
        <w:t>Company Name</w:t>
      </w:r>
      <w:r w:rsidRPr="00BB61AF">
        <w:rPr>
          <w:rFonts w:ascii="Arial" w:hAnsi="Arial" w:cs="Arial"/>
          <w:color w:val="808080"/>
          <w:sz w:val="20"/>
        </w:rPr>
        <w:t>]</w:t>
      </w:r>
      <w:r w:rsidRPr="00BB61AF">
        <w:rPr>
          <w:rFonts w:ascii="Arial" w:hAnsi="Arial" w:cs="Arial"/>
          <w:sz w:val="20"/>
        </w:rPr>
        <w:t xml:space="preserve"> are responsible for appropriately respecting and protecting the asset.</w:t>
      </w:r>
    </w:p>
    <w:p w14:paraId="12C670B5" w14:textId="77777777" w:rsidR="006D7D2A" w:rsidRPr="00BB61AF" w:rsidRDefault="006D7D2A" w:rsidP="006D7D2A">
      <w:pPr>
        <w:pStyle w:val="SoKPolicyThirdLevelContent"/>
        <w:tabs>
          <w:tab w:val="num" w:pos="720"/>
        </w:tabs>
        <w:ind w:left="720"/>
        <w:rPr>
          <w:rFonts w:ascii="Arial" w:hAnsi="Arial" w:cs="Arial"/>
          <w:sz w:val="20"/>
        </w:rPr>
      </w:pPr>
    </w:p>
    <w:p w14:paraId="12C670B6" w14:textId="40023F68"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In order for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to effectively manage and safeguard the data assets, procedures must be in place to guide appropriate data access, ensure the security of the data, and provide a means to address procedural exceptions.</w:t>
      </w:r>
    </w:p>
    <w:p w14:paraId="12C670B7"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B8" w14:textId="77777777"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Roles, including those both of individuals with data responsibilities and of eligible users, are necessary to support data integrity and security.</w:t>
      </w:r>
    </w:p>
    <w:p w14:paraId="12C670B9"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BA" w14:textId="77777777"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Sharing information across organizational boundaries should be facilitated where appropriate.</w:t>
      </w:r>
    </w:p>
    <w:p w14:paraId="12C670BB"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BC" w14:textId="77777777"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A sustained data administration function should reinforce a set of definitions for commonly consumed data, with the understanding that there may be multiple valid definitions.</w:t>
      </w:r>
    </w:p>
    <w:p w14:paraId="12C670BD"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BE" w14:textId="635E75F5"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Data integration across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should be encouraged to foster data accuracy and uniformity, and demonstrate an understanding of </w:t>
      </w:r>
      <w:r w:rsidRPr="00BB61AF">
        <w:rPr>
          <w:rFonts w:cs="Arial"/>
          <w:color w:val="808080"/>
          <w:szCs w:val="20"/>
        </w:rPr>
        <w:t>[</w:t>
      </w:r>
      <w:r w:rsidR="00025AFB">
        <w:rPr>
          <w:rFonts w:cs="Arial"/>
          <w:color w:val="808080"/>
          <w:szCs w:val="20"/>
        </w:rPr>
        <w:t>Company Name</w:t>
      </w:r>
      <w:r w:rsidR="00F617E0">
        <w:rPr>
          <w:rFonts w:cs="Arial"/>
          <w:color w:val="808080"/>
          <w:szCs w:val="20"/>
        </w:rPr>
        <w:t>’s</w:t>
      </w:r>
      <w:r w:rsidRPr="00BB61AF">
        <w:rPr>
          <w:rFonts w:cs="Arial"/>
          <w:color w:val="808080"/>
          <w:szCs w:val="20"/>
        </w:rPr>
        <w:t>]</w:t>
      </w:r>
      <w:r w:rsidRPr="00BB61AF">
        <w:rPr>
          <w:rFonts w:cs="Arial"/>
          <w:szCs w:val="20"/>
          <w:lang w:eastAsia="en-CA"/>
        </w:rPr>
        <w:t xml:space="preserve"> institutional complexity, various data systems, and differing data formats.</w:t>
      </w:r>
    </w:p>
    <w:p w14:paraId="12C670BF"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0" w14:textId="66F65C29" w:rsidR="00A01994"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Data should be safeguarded to maintain the confidentiality and privacy of personally identifiable information; such safeguards should be balanced and reflect the necessity for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to conduct its business.</w:t>
      </w:r>
    </w:p>
    <w:p w14:paraId="12C670C1" w14:textId="77777777" w:rsidR="006D7D2A" w:rsidRPr="00BB61AF" w:rsidRDefault="006D7D2A" w:rsidP="006D7D2A">
      <w:pPr>
        <w:shd w:val="clear" w:color="auto" w:fill="FFFFFF"/>
        <w:tabs>
          <w:tab w:val="num" w:pos="720"/>
        </w:tabs>
        <w:spacing w:line="240" w:lineRule="atLeast"/>
        <w:ind w:left="720"/>
        <w:rPr>
          <w:rFonts w:cs="Arial"/>
          <w:szCs w:val="20"/>
          <w:lang w:eastAsia="en-CA"/>
        </w:rPr>
      </w:pPr>
    </w:p>
    <w:p w14:paraId="12C670C2" w14:textId="1593BF1E"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Access to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data should be based on the business needs of the organization and should enhance the ability of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to achieve its mission. Employees should have access to the data needed to perform their responsibilities, without regard to arbitrary barriers. In many cases, that data need not be individually identifiable. </w:t>
      </w:r>
    </w:p>
    <w:p w14:paraId="12C670C3"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4" w14:textId="7157F85F"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Before individuals will be allowed to access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data, training in the use and attributes of the data, functional area data policies, and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policies regarding data is mandatory.</w:t>
      </w:r>
    </w:p>
    <w:p w14:paraId="12C670C5"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6" w14:textId="75F6AF78"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A terminology/taxonomy shall be developed by the </w:t>
      </w:r>
      <w:r w:rsidR="00566B77" w:rsidRPr="00566B77">
        <w:rPr>
          <w:rFonts w:cs="Arial"/>
          <w:color w:val="767171" w:themeColor="background2" w:themeShade="80"/>
          <w:szCs w:val="20"/>
          <w:lang w:eastAsia="en-CA"/>
        </w:rPr>
        <w:t>[</w:t>
      </w:r>
      <w:r w:rsidRPr="00566B77">
        <w:rPr>
          <w:rFonts w:cs="Arial"/>
          <w:color w:val="767171" w:themeColor="background2" w:themeShade="80"/>
          <w:szCs w:val="20"/>
          <w:lang w:eastAsia="en-CA"/>
        </w:rPr>
        <w:t>Data Stewardship Advisory Group</w:t>
      </w:r>
      <w:r w:rsidR="00566B77" w:rsidRPr="00566B77">
        <w:rPr>
          <w:rFonts w:cs="Arial"/>
          <w:color w:val="767171" w:themeColor="background2" w:themeShade="80"/>
          <w:szCs w:val="20"/>
          <w:lang w:eastAsia="en-CA"/>
        </w:rPr>
        <w:t>]</w:t>
      </w:r>
      <w:r w:rsidRPr="00BB61AF">
        <w:rPr>
          <w:rFonts w:cs="Arial"/>
          <w:szCs w:val="20"/>
          <w:lang w:eastAsia="en-CA"/>
        </w:rPr>
        <w:t xml:space="preserve">, or an appropriate subset, in order to provide a framework for requesting and producing consistent data across all levels of the enterprise. The definitions shall be accessible to all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data users and shall be included in training.</w:t>
      </w:r>
    </w:p>
    <w:p w14:paraId="12C670C7"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8"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9"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A"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B"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C" w14:textId="77777777" w:rsidR="006D7D2A" w:rsidRDefault="006D7D2A" w:rsidP="006D7D2A">
      <w:pPr>
        <w:shd w:val="clear" w:color="auto" w:fill="FFFFFF"/>
        <w:tabs>
          <w:tab w:val="num" w:pos="720"/>
        </w:tabs>
        <w:spacing w:line="240" w:lineRule="atLeast"/>
        <w:ind w:left="720"/>
        <w:rPr>
          <w:rFonts w:cs="Arial"/>
          <w:szCs w:val="20"/>
          <w:lang w:eastAsia="en-CA"/>
        </w:rPr>
      </w:pPr>
    </w:p>
    <w:p w14:paraId="12C670CD" w14:textId="5DDE9670" w:rsidR="00A01994" w:rsidRPr="00BB61AF" w:rsidRDefault="00A01994" w:rsidP="006D7D2A">
      <w:pPr>
        <w:numPr>
          <w:ilvl w:val="0"/>
          <w:numId w:val="15"/>
        </w:numPr>
        <w:shd w:val="clear" w:color="auto" w:fill="FFFFFF"/>
        <w:tabs>
          <w:tab w:val="clear" w:pos="1980"/>
          <w:tab w:val="num" w:pos="720"/>
        </w:tabs>
        <w:spacing w:line="240" w:lineRule="atLeast"/>
        <w:ind w:left="720"/>
        <w:rPr>
          <w:rFonts w:cs="Arial"/>
          <w:szCs w:val="20"/>
          <w:lang w:eastAsia="en-CA"/>
        </w:rPr>
      </w:pPr>
      <w:r w:rsidRPr="00BB61AF">
        <w:rPr>
          <w:rFonts w:cs="Arial"/>
          <w:szCs w:val="20"/>
          <w:lang w:eastAsia="en-CA"/>
        </w:rPr>
        <w:t xml:space="preserve">Data, as a </w:t>
      </w:r>
      <w:r w:rsidRPr="00BB61AF">
        <w:rPr>
          <w:rFonts w:cs="Arial"/>
          <w:color w:val="808080"/>
          <w:szCs w:val="20"/>
        </w:rPr>
        <w:t>[</w:t>
      </w:r>
      <w:r w:rsidR="00025AFB">
        <w:rPr>
          <w:rFonts w:cs="Arial"/>
          <w:color w:val="808080"/>
          <w:szCs w:val="20"/>
        </w:rPr>
        <w:t>Company Name</w:t>
      </w:r>
      <w:r w:rsidRPr="00BB61AF">
        <w:rPr>
          <w:rFonts w:cs="Arial"/>
          <w:color w:val="808080"/>
          <w:szCs w:val="20"/>
        </w:rPr>
        <w:t>]</w:t>
      </w:r>
      <w:r w:rsidRPr="00BB61AF">
        <w:rPr>
          <w:rFonts w:cs="Arial"/>
          <w:szCs w:val="20"/>
          <w:lang w:eastAsia="en-CA"/>
        </w:rPr>
        <w:t xml:space="preserve"> asset, must be safeguarded and managed at all points and across all systems, from creation</w:t>
      </w:r>
      <w:r w:rsidR="00335395">
        <w:rPr>
          <w:rFonts w:cs="Arial"/>
          <w:szCs w:val="20"/>
          <w:lang w:eastAsia="en-CA"/>
        </w:rPr>
        <w:t>,</w:t>
      </w:r>
      <w:r w:rsidRPr="00BB61AF">
        <w:rPr>
          <w:rFonts w:cs="Arial"/>
          <w:szCs w:val="20"/>
          <w:lang w:eastAsia="en-CA"/>
        </w:rPr>
        <w:t xml:space="preserve"> to use</w:t>
      </w:r>
      <w:r w:rsidR="00335395">
        <w:rPr>
          <w:rFonts w:cs="Arial"/>
          <w:szCs w:val="20"/>
          <w:lang w:eastAsia="en-CA"/>
        </w:rPr>
        <w:t>,</w:t>
      </w:r>
      <w:r w:rsidRPr="00BB61AF">
        <w:rPr>
          <w:rFonts w:cs="Arial"/>
          <w:szCs w:val="20"/>
          <w:lang w:eastAsia="en-CA"/>
        </w:rPr>
        <w:t xml:space="preserve"> to archive, through coordinated effo</w:t>
      </w:r>
      <w:r w:rsidR="00335395">
        <w:rPr>
          <w:rFonts w:cs="Arial"/>
          <w:szCs w:val="20"/>
          <w:lang w:eastAsia="en-CA"/>
        </w:rPr>
        <w:t>rts and shared responsibilities</w:t>
      </w:r>
      <w:r w:rsidRPr="00BB61AF">
        <w:rPr>
          <w:rFonts w:cs="Arial"/>
          <w:szCs w:val="20"/>
          <w:lang w:eastAsia="en-CA"/>
        </w:rPr>
        <w:t xml:space="preserve"> to ensure its accuracy. Each functional area will develop and implement processes for identifying and correcting erroneous or inconsistent data. When and if erroneous or inconsistent data has been identified, the </w:t>
      </w:r>
      <w:r w:rsidRPr="00A01994">
        <w:rPr>
          <w:rFonts w:cs="Arial"/>
          <w:color w:val="767171" w:themeColor="background2" w:themeShade="80"/>
          <w:szCs w:val="20"/>
          <w:lang w:eastAsia="en-CA"/>
        </w:rPr>
        <w:t>[Data Steward]</w:t>
      </w:r>
      <w:r w:rsidRPr="00BB61AF">
        <w:rPr>
          <w:rFonts w:cs="Arial"/>
          <w:szCs w:val="20"/>
          <w:lang w:eastAsia="en-CA"/>
        </w:rPr>
        <w:t xml:space="preserve"> from the corresponding functional area shall within five business days either correct the data or escalate the issue to the appropriate Data Owner and </w:t>
      </w:r>
      <w:r w:rsidR="00566B77" w:rsidRPr="00566B77">
        <w:rPr>
          <w:rFonts w:cs="Arial"/>
          <w:color w:val="767171" w:themeColor="background2" w:themeShade="80"/>
          <w:szCs w:val="20"/>
          <w:lang w:eastAsia="en-CA"/>
        </w:rPr>
        <w:t>[</w:t>
      </w:r>
      <w:r w:rsidRPr="00566B77">
        <w:rPr>
          <w:rFonts w:cs="Arial"/>
          <w:color w:val="767171" w:themeColor="background2" w:themeShade="80"/>
          <w:szCs w:val="20"/>
          <w:lang w:eastAsia="en-CA"/>
        </w:rPr>
        <w:t>the Data Governance Steering Committee</w:t>
      </w:r>
      <w:r w:rsidR="00566B77" w:rsidRPr="00566B77">
        <w:rPr>
          <w:rFonts w:cs="Arial"/>
          <w:color w:val="767171" w:themeColor="background2" w:themeShade="80"/>
          <w:szCs w:val="20"/>
          <w:lang w:eastAsia="en-CA"/>
        </w:rPr>
        <w:t>]</w:t>
      </w:r>
      <w:r w:rsidRPr="00BB61AF">
        <w:rPr>
          <w:rFonts w:cs="Arial"/>
          <w:szCs w:val="20"/>
          <w:lang w:eastAsia="en-CA"/>
        </w:rPr>
        <w:t>. Information Technology services will develop and implement data auditing processes.</w:t>
      </w:r>
    </w:p>
    <w:p w14:paraId="12C670CE" w14:textId="77777777" w:rsidR="006D7D2A" w:rsidRDefault="006D7D2A" w:rsidP="006D7D2A">
      <w:pPr>
        <w:pStyle w:val="SoKPolicyThirdLevelContent"/>
        <w:tabs>
          <w:tab w:val="num" w:pos="720"/>
        </w:tabs>
        <w:ind w:left="720"/>
        <w:rPr>
          <w:rFonts w:ascii="Arial" w:hAnsi="Arial" w:cs="Arial"/>
          <w:sz w:val="20"/>
        </w:rPr>
      </w:pPr>
    </w:p>
    <w:p w14:paraId="12C670CF" w14:textId="77777777" w:rsidR="00A01994" w:rsidRPr="00BB61AF" w:rsidRDefault="00A01994" w:rsidP="006D7D2A">
      <w:pPr>
        <w:pStyle w:val="SoKPolicyThirdLevelContent"/>
        <w:numPr>
          <w:ilvl w:val="0"/>
          <w:numId w:val="15"/>
        </w:numPr>
        <w:tabs>
          <w:tab w:val="clear" w:pos="1980"/>
          <w:tab w:val="num" w:pos="720"/>
        </w:tabs>
        <w:ind w:left="720"/>
        <w:rPr>
          <w:rFonts w:ascii="Arial" w:hAnsi="Arial" w:cs="Arial"/>
          <w:sz w:val="20"/>
        </w:rPr>
      </w:pPr>
      <w:r w:rsidRPr="00BB61AF">
        <w:rPr>
          <w:rFonts w:ascii="Arial" w:hAnsi="Arial" w:cs="Arial"/>
          <w:sz w:val="20"/>
        </w:rPr>
        <w:t xml:space="preserve">Any exceptions to this policy will be fully documented and approved by </w:t>
      </w:r>
      <w:r w:rsidRPr="00A01994">
        <w:rPr>
          <w:rFonts w:ascii="Arial" w:hAnsi="Arial" w:cs="Arial"/>
          <w:color w:val="767171" w:themeColor="background2" w:themeShade="80"/>
          <w:sz w:val="20"/>
        </w:rPr>
        <w:t>[</w:t>
      </w:r>
      <w:r w:rsidRPr="00BB61AF">
        <w:rPr>
          <w:rFonts w:ascii="Arial" w:hAnsi="Arial" w:cs="Arial"/>
          <w:color w:val="808080"/>
          <w:sz w:val="20"/>
        </w:rPr>
        <w:t>the IT steering committee</w:t>
      </w:r>
      <w:r>
        <w:rPr>
          <w:rFonts w:ascii="Arial" w:hAnsi="Arial" w:cs="Arial"/>
          <w:color w:val="808080"/>
          <w:sz w:val="20"/>
        </w:rPr>
        <w:t>]</w:t>
      </w:r>
      <w:r w:rsidRPr="00BB61AF">
        <w:rPr>
          <w:rFonts w:ascii="Arial" w:hAnsi="Arial" w:cs="Arial"/>
          <w:sz w:val="20"/>
        </w:rPr>
        <w:t>.</w:t>
      </w:r>
    </w:p>
    <w:p w14:paraId="12C670D0" w14:textId="77777777" w:rsidR="00A01994" w:rsidRDefault="00A01994" w:rsidP="006D7D2A">
      <w:pPr>
        <w:shd w:val="clear" w:color="auto" w:fill="FFFFFF"/>
        <w:tabs>
          <w:tab w:val="num" w:pos="720"/>
        </w:tabs>
        <w:spacing w:line="240" w:lineRule="atLeast"/>
        <w:ind w:left="720"/>
        <w:rPr>
          <w:rFonts w:cs="Arial"/>
          <w:color w:val="767171" w:themeColor="background2" w:themeShade="80"/>
          <w:szCs w:val="20"/>
          <w:lang w:eastAsia="en-CA"/>
        </w:rPr>
      </w:pPr>
    </w:p>
    <w:p w14:paraId="12C670D1" w14:textId="38EEB514" w:rsidR="00A01994" w:rsidRDefault="00A01994" w:rsidP="006D7D2A">
      <w:pPr>
        <w:pStyle w:val="ListParagraph"/>
        <w:numPr>
          <w:ilvl w:val="0"/>
          <w:numId w:val="15"/>
        </w:numPr>
        <w:shd w:val="clear" w:color="auto" w:fill="FFFFFF"/>
        <w:tabs>
          <w:tab w:val="clear" w:pos="1980"/>
          <w:tab w:val="num" w:pos="720"/>
        </w:tabs>
        <w:spacing w:line="240" w:lineRule="atLeast"/>
        <w:ind w:left="720"/>
        <w:rPr>
          <w:rFonts w:cs="Arial"/>
          <w:szCs w:val="20"/>
          <w:lang w:eastAsia="en-CA"/>
        </w:rPr>
      </w:pPr>
      <w:r w:rsidRPr="00A01994">
        <w:rPr>
          <w:rFonts w:cs="Arial"/>
          <w:szCs w:val="20"/>
          <w:lang w:eastAsia="en-CA"/>
        </w:rPr>
        <w:t xml:space="preserve">Extraction, manipulation, and reporting of </w:t>
      </w:r>
      <w:r w:rsidRPr="00D818D9">
        <w:rPr>
          <w:rFonts w:cs="Arial"/>
          <w:color w:val="767171" w:themeColor="background2" w:themeShade="80"/>
          <w:szCs w:val="20"/>
        </w:rPr>
        <w:t>[</w:t>
      </w:r>
      <w:r w:rsidR="00025AFB">
        <w:rPr>
          <w:rFonts w:cs="Arial"/>
          <w:color w:val="767171" w:themeColor="background2" w:themeShade="80"/>
          <w:szCs w:val="20"/>
        </w:rPr>
        <w:t>Company Name</w:t>
      </w:r>
      <w:r w:rsidRPr="00D818D9">
        <w:rPr>
          <w:rFonts w:cs="Arial"/>
          <w:color w:val="767171" w:themeColor="background2" w:themeShade="80"/>
          <w:szCs w:val="20"/>
        </w:rPr>
        <w:t>]</w:t>
      </w:r>
      <w:r w:rsidRPr="00A01994">
        <w:rPr>
          <w:rFonts w:cs="Arial"/>
          <w:szCs w:val="20"/>
          <w:lang w:eastAsia="en-CA"/>
        </w:rPr>
        <w:t xml:space="preserve"> data must be done only for </w:t>
      </w:r>
      <w:r w:rsidRPr="00D818D9">
        <w:rPr>
          <w:rFonts w:cs="Arial"/>
          <w:color w:val="767171" w:themeColor="background2" w:themeShade="80"/>
          <w:szCs w:val="20"/>
        </w:rPr>
        <w:t>[</w:t>
      </w:r>
      <w:r w:rsidR="00025AFB">
        <w:rPr>
          <w:rFonts w:cs="Arial"/>
          <w:color w:val="767171" w:themeColor="background2" w:themeShade="80"/>
          <w:szCs w:val="20"/>
        </w:rPr>
        <w:t>Company Name</w:t>
      </w:r>
      <w:r w:rsidRPr="00D818D9">
        <w:rPr>
          <w:rFonts w:cs="Arial"/>
          <w:color w:val="767171" w:themeColor="background2" w:themeShade="80"/>
          <w:szCs w:val="20"/>
        </w:rPr>
        <w:t xml:space="preserve">] </w:t>
      </w:r>
      <w:r w:rsidRPr="00A01994">
        <w:rPr>
          <w:rFonts w:cs="Arial"/>
          <w:szCs w:val="20"/>
          <w:lang w:eastAsia="en-CA"/>
        </w:rPr>
        <w:t>business purposes:</w:t>
      </w:r>
    </w:p>
    <w:p w14:paraId="12C670D2" w14:textId="77777777" w:rsidR="006D7D2A" w:rsidRPr="00A01994" w:rsidRDefault="006D7D2A" w:rsidP="006D7D2A">
      <w:pPr>
        <w:pStyle w:val="ListParagraph"/>
        <w:shd w:val="clear" w:color="auto" w:fill="FFFFFF"/>
        <w:tabs>
          <w:tab w:val="left" w:pos="720"/>
        </w:tabs>
        <w:spacing w:line="240" w:lineRule="atLeast"/>
        <w:rPr>
          <w:rFonts w:cs="Arial"/>
          <w:szCs w:val="20"/>
          <w:lang w:eastAsia="en-CA"/>
        </w:rPr>
      </w:pPr>
    </w:p>
    <w:p w14:paraId="12C670D3" w14:textId="40CB9560" w:rsidR="00A01994" w:rsidRPr="00A01994" w:rsidRDefault="00A01994" w:rsidP="006D7D2A">
      <w:pPr>
        <w:numPr>
          <w:ilvl w:val="1"/>
          <w:numId w:val="16"/>
        </w:numPr>
        <w:shd w:val="clear" w:color="auto" w:fill="FFFFFF"/>
        <w:tabs>
          <w:tab w:val="num" w:pos="1080"/>
        </w:tabs>
        <w:spacing w:line="240" w:lineRule="atLeast"/>
        <w:ind w:left="1080"/>
        <w:rPr>
          <w:rFonts w:cs="Arial"/>
          <w:szCs w:val="20"/>
          <w:lang w:eastAsia="en-CA"/>
        </w:rPr>
      </w:pPr>
      <w:r w:rsidRPr="00A01994">
        <w:rPr>
          <w:rFonts w:cs="Arial"/>
          <w:szCs w:val="20"/>
          <w:lang w:eastAsia="en-CA"/>
        </w:rPr>
        <w:t xml:space="preserve">Personal use of </w:t>
      </w:r>
      <w:r w:rsidRPr="00D818D9">
        <w:rPr>
          <w:rFonts w:cs="Arial"/>
          <w:color w:val="767171" w:themeColor="background2" w:themeShade="80"/>
          <w:szCs w:val="20"/>
        </w:rPr>
        <w:t>[</w:t>
      </w:r>
      <w:r w:rsidR="00025AFB">
        <w:rPr>
          <w:rFonts w:cs="Arial"/>
          <w:color w:val="767171" w:themeColor="background2" w:themeShade="80"/>
          <w:szCs w:val="20"/>
        </w:rPr>
        <w:t>Company Name</w:t>
      </w:r>
      <w:r w:rsidRPr="00D818D9">
        <w:rPr>
          <w:rFonts w:cs="Arial"/>
          <w:color w:val="767171" w:themeColor="background2" w:themeShade="80"/>
          <w:szCs w:val="20"/>
        </w:rPr>
        <w:t>]</w:t>
      </w:r>
      <w:r w:rsidRPr="00A01994">
        <w:rPr>
          <w:rFonts w:cs="Arial"/>
          <w:szCs w:val="20"/>
          <w:lang w:eastAsia="en-CA"/>
        </w:rPr>
        <w:t xml:space="preserve"> data, including derived data, in any format and at any location, is prohibited.</w:t>
      </w:r>
    </w:p>
    <w:p w14:paraId="12C670D4" w14:textId="77777777" w:rsidR="00A01994" w:rsidRPr="00A01994" w:rsidRDefault="00A01994" w:rsidP="006D7D2A">
      <w:pPr>
        <w:numPr>
          <w:ilvl w:val="1"/>
          <w:numId w:val="16"/>
        </w:numPr>
        <w:shd w:val="clear" w:color="auto" w:fill="FFFFFF"/>
        <w:tabs>
          <w:tab w:val="clear" w:pos="2700"/>
          <w:tab w:val="num" w:pos="1080"/>
        </w:tabs>
        <w:spacing w:line="240" w:lineRule="atLeast"/>
        <w:ind w:left="1080"/>
        <w:rPr>
          <w:rFonts w:cs="Arial"/>
          <w:szCs w:val="20"/>
          <w:lang w:eastAsia="en-CA"/>
        </w:rPr>
      </w:pPr>
      <w:r w:rsidRPr="00A01994">
        <w:rPr>
          <w:rFonts w:cs="Arial"/>
          <w:szCs w:val="20"/>
          <w:lang w:eastAsia="en-CA"/>
        </w:rPr>
        <w:t>Where appropriate, before any information is used outside the Data User's functional unit, verification with the functional area manager and data owner is recommended.</w:t>
      </w:r>
    </w:p>
    <w:p w14:paraId="12C670D5" w14:textId="77777777" w:rsidR="00DC1141" w:rsidRDefault="00DC1141" w:rsidP="006D7D2A">
      <w:pPr>
        <w:pStyle w:val="ListNumber"/>
        <w:numPr>
          <w:ilvl w:val="0"/>
          <w:numId w:val="0"/>
        </w:numPr>
        <w:spacing w:after="0" w:line="240" w:lineRule="auto"/>
        <w:ind w:left="360" w:right="0" w:hanging="360"/>
        <w:rPr>
          <w:rFonts w:ascii="Arial" w:hAnsi="Arial" w:cs="Arial"/>
        </w:rPr>
      </w:pPr>
    </w:p>
    <w:p w14:paraId="12C670D6" w14:textId="77777777" w:rsidR="006D7D2A" w:rsidRPr="006D7D2A" w:rsidRDefault="006D7D2A" w:rsidP="006D7D2A">
      <w:pPr>
        <w:pStyle w:val="ListParagraph"/>
        <w:numPr>
          <w:ilvl w:val="0"/>
          <w:numId w:val="15"/>
        </w:numPr>
        <w:shd w:val="clear" w:color="auto" w:fill="FFFFFF"/>
        <w:tabs>
          <w:tab w:val="clear" w:pos="1980"/>
          <w:tab w:val="left" w:pos="720"/>
        </w:tabs>
        <w:spacing w:line="240" w:lineRule="atLeast"/>
        <w:ind w:left="720"/>
        <w:rPr>
          <w:rFonts w:cs="Arial"/>
          <w:szCs w:val="20"/>
          <w:lang w:eastAsia="en-CA"/>
        </w:rPr>
      </w:pPr>
      <w:r w:rsidRPr="006D7D2A">
        <w:rPr>
          <w:rFonts w:cs="Arial"/>
          <w:szCs w:val="20"/>
          <w:lang w:eastAsia="en-CA"/>
        </w:rPr>
        <w:t>Before decisions are made concerning data retention and data archiving, the appropriate Data Users must be consulted.</w:t>
      </w:r>
    </w:p>
    <w:p w14:paraId="12C670D7" w14:textId="77777777" w:rsidR="006D7D2A" w:rsidRDefault="006D7D2A" w:rsidP="006D7D2A">
      <w:pPr>
        <w:pStyle w:val="ListParagraph"/>
        <w:shd w:val="clear" w:color="auto" w:fill="FFFFFF"/>
        <w:spacing w:line="240" w:lineRule="atLeast"/>
        <w:ind w:left="1980"/>
        <w:rPr>
          <w:rFonts w:cs="Arial"/>
          <w:color w:val="767171" w:themeColor="background2" w:themeShade="80"/>
          <w:szCs w:val="20"/>
          <w:lang w:eastAsia="en-CA"/>
        </w:rPr>
      </w:pPr>
    </w:p>
    <w:p w14:paraId="12C670D8" w14:textId="1544A94A" w:rsidR="006D7D2A" w:rsidRDefault="006D7D2A" w:rsidP="006D7D2A">
      <w:pPr>
        <w:pStyle w:val="ListParagraph"/>
        <w:numPr>
          <w:ilvl w:val="0"/>
          <w:numId w:val="15"/>
        </w:numPr>
        <w:shd w:val="clear" w:color="auto" w:fill="FFFFFF"/>
        <w:tabs>
          <w:tab w:val="clear" w:pos="1980"/>
          <w:tab w:val="num" w:pos="720"/>
        </w:tabs>
        <w:spacing w:line="240" w:lineRule="atLeast"/>
        <w:ind w:left="720"/>
        <w:rPr>
          <w:rFonts w:cs="Arial"/>
          <w:szCs w:val="20"/>
          <w:lang w:eastAsia="en-CA"/>
        </w:rPr>
      </w:pPr>
      <w:r w:rsidRPr="006D7D2A">
        <w:rPr>
          <w:rFonts w:cs="Arial"/>
          <w:szCs w:val="20"/>
          <w:lang w:eastAsia="en-CA"/>
        </w:rPr>
        <w:t xml:space="preserve">Individuals that seek permission to access data outside of the access plan and defined roles must submit a written request seeking non-standard access. </w:t>
      </w:r>
    </w:p>
    <w:p w14:paraId="12C670D9" w14:textId="77777777" w:rsidR="006D7D2A" w:rsidRPr="006D7D2A" w:rsidRDefault="006D7D2A" w:rsidP="006D7D2A">
      <w:pPr>
        <w:shd w:val="clear" w:color="auto" w:fill="FFFFFF"/>
        <w:spacing w:line="240" w:lineRule="atLeast"/>
        <w:rPr>
          <w:rFonts w:cs="Arial"/>
          <w:szCs w:val="20"/>
          <w:lang w:eastAsia="en-CA"/>
        </w:rPr>
      </w:pPr>
    </w:p>
    <w:p w14:paraId="12C670DA" w14:textId="77777777" w:rsidR="006D7D2A" w:rsidRPr="006D7D2A" w:rsidRDefault="006D7D2A" w:rsidP="006D7D2A">
      <w:pPr>
        <w:pStyle w:val="ListParagraph"/>
        <w:numPr>
          <w:ilvl w:val="0"/>
          <w:numId w:val="19"/>
        </w:numPr>
        <w:shd w:val="clear" w:color="auto" w:fill="FFFFFF"/>
        <w:spacing w:line="240" w:lineRule="atLeast"/>
        <w:ind w:left="1080"/>
        <w:rPr>
          <w:rFonts w:cs="Arial"/>
          <w:szCs w:val="20"/>
          <w:lang w:eastAsia="en-CA"/>
        </w:rPr>
      </w:pPr>
      <w:r w:rsidRPr="006D7D2A">
        <w:rPr>
          <w:rFonts w:cs="Arial"/>
          <w:szCs w:val="20"/>
          <w:lang w:eastAsia="en-CA"/>
        </w:rPr>
        <w:t xml:space="preserve">This request should include a statement indicating the access being sought and the reason for the request, and should be submitted to </w:t>
      </w:r>
      <w:r w:rsidR="00D818D9" w:rsidRPr="00D818D9">
        <w:rPr>
          <w:rFonts w:cs="Arial"/>
          <w:color w:val="767171" w:themeColor="background2" w:themeShade="80"/>
          <w:szCs w:val="20"/>
          <w:lang w:eastAsia="en-CA"/>
        </w:rPr>
        <w:t>[</w:t>
      </w:r>
      <w:r w:rsidRPr="00D818D9">
        <w:rPr>
          <w:rFonts w:cs="Arial"/>
          <w:color w:val="767171" w:themeColor="background2" w:themeShade="80"/>
          <w:szCs w:val="20"/>
          <w:lang w:eastAsia="en-CA"/>
        </w:rPr>
        <w:t>the Chair of the Data Governance Steering Committee</w:t>
      </w:r>
      <w:r w:rsidR="00D818D9" w:rsidRPr="00D818D9">
        <w:rPr>
          <w:rFonts w:cs="Arial"/>
          <w:color w:val="767171" w:themeColor="background2" w:themeShade="80"/>
          <w:szCs w:val="20"/>
          <w:lang w:eastAsia="en-CA"/>
        </w:rPr>
        <w:t>]</w:t>
      </w:r>
      <w:r w:rsidRPr="006D7D2A">
        <w:rPr>
          <w:rFonts w:cs="Arial"/>
          <w:szCs w:val="20"/>
          <w:lang w:eastAsia="en-CA"/>
        </w:rPr>
        <w:t xml:space="preserve">. </w:t>
      </w:r>
    </w:p>
    <w:p w14:paraId="12C670DB" w14:textId="77777777" w:rsidR="006D7D2A" w:rsidRPr="006D7D2A" w:rsidRDefault="00D818D9" w:rsidP="006D7D2A">
      <w:pPr>
        <w:pStyle w:val="ListParagraph"/>
        <w:numPr>
          <w:ilvl w:val="0"/>
          <w:numId w:val="19"/>
        </w:numPr>
        <w:shd w:val="clear" w:color="auto" w:fill="FFFFFF"/>
        <w:spacing w:line="240" w:lineRule="atLeast"/>
        <w:ind w:left="1080"/>
        <w:rPr>
          <w:rFonts w:cs="Arial"/>
          <w:szCs w:val="20"/>
          <w:lang w:eastAsia="en-CA"/>
        </w:rPr>
      </w:pPr>
      <w:r w:rsidRPr="00D818D9">
        <w:rPr>
          <w:rFonts w:cs="Arial"/>
          <w:color w:val="767171" w:themeColor="background2" w:themeShade="80"/>
          <w:szCs w:val="20"/>
          <w:lang w:eastAsia="en-CA"/>
        </w:rPr>
        <w:t>[</w:t>
      </w:r>
      <w:r w:rsidR="006D7D2A" w:rsidRPr="00D818D9">
        <w:rPr>
          <w:rFonts w:cs="Arial"/>
          <w:color w:val="767171" w:themeColor="background2" w:themeShade="80"/>
          <w:szCs w:val="20"/>
          <w:lang w:eastAsia="en-CA"/>
        </w:rPr>
        <w:t>The Chair</w:t>
      </w:r>
      <w:r w:rsidRPr="00D818D9">
        <w:rPr>
          <w:rFonts w:cs="Arial"/>
          <w:color w:val="767171" w:themeColor="background2" w:themeShade="80"/>
          <w:szCs w:val="20"/>
          <w:lang w:eastAsia="en-CA"/>
        </w:rPr>
        <w:t>]</w:t>
      </w:r>
      <w:r w:rsidR="006D7D2A" w:rsidRPr="006D7D2A">
        <w:rPr>
          <w:rFonts w:cs="Arial"/>
          <w:szCs w:val="20"/>
          <w:lang w:eastAsia="en-CA"/>
        </w:rPr>
        <w:t xml:space="preserve"> will send the request to the appropriate Data Steward for review and decision. The Data Steward will report the decision to the appropriate Data Owner and to the requestor's manager.</w:t>
      </w:r>
    </w:p>
    <w:p w14:paraId="12C670DC" w14:textId="77777777" w:rsidR="00DC1141" w:rsidRDefault="00DC1141" w:rsidP="00DC1141">
      <w:pPr>
        <w:pStyle w:val="ListNumber"/>
        <w:numPr>
          <w:ilvl w:val="0"/>
          <w:numId w:val="0"/>
        </w:numPr>
        <w:tabs>
          <w:tab w:val="clear" w:pos="360"/>
        </w:tabs>
        <w:spacing w:after="0"/>
        <w:rPr>
          <w:rFonts w:ascii="Arial" w:hAnsi="Arial" w:cs="Arial"/>
        </w:rPr>
      </w:pPr>
    </w:p>
    <w:p w14:paraId="12C670DD" w14:textId="77777777" w:rsidR="006D7D2A" w:rsidRPr="00DC1141" w:rsidRDefault="006D7D2A" w:rsidP="00DC1141">
      <w:pPr>
        <w:pStyle w:val="ListNumber"/>
        <w:numPr>
          <w:ilvl w:val="0"/>
          <w:numId w:val="0"/>
        </w:numPr>
        <w:tabs>
          <w:tab w:val="clear" w:pos="360"/>
        </w:tabs>
        <w:spacing w:after="0"/>
        <w:rPr>
          <w:rFonts w:ascii="Arial" w:hAnsi="Arial" w:cs="Arial"/>
          <w:color w:val="000000" w:themeColor="text1"/>
        </w:rPr>
      </w:pPr>
    </w:p>
    <w:p w14:paraId="12C670DE" w14:textId="77777777" w:rsidR="00B502A4" w:rsidRDefault="00B502A4" w:rsidP="00B502A4">
      <w:pPr>
        <w:pStyle w:val="Heading1"/>
      </w:pPr>
      <w:r>
        <w:t>Non-Compliance</w:t>
      </w:r>
    </w:p>
    <w:p w14:paraId="12C670DF"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12C670E0" w14:textId="77777777" w:rsidR="00B502A4" w:rsidRDefault="00B502A4" w:rsidP="00E64679"/>
    <w:p w14:paraId="12C670E1" w14:textId="53B78AB7"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025AFB">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12C670E2" w14:textId="77777777" w:rsidR="00AA6841" w:rsidRPr="00AA6841" w:rsidRDefault="00AA6841" w:rsidP="00AA6841">
      <w:pPr>
        <w:rPr>
          <w:rFonts w:cs="Arial"/>
          <w:color w:val="000000" w:themeColor="text1"/>
        </w:rPr>
      </w:pPr>
    </w:p>
    <w:p w14:paraId="12C670E3" w14:textId="2826E06A"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025AFB">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12C670E4"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12C670E5"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12C670E6" w14:textId="77777777" w:rsidR="00AA6841" w:rsidRDefault="00AA6841" w:rsidP="00E64679"/>
    <w:p w14:paraId="12C670E7" w14:textId="77777777" w:rsidR="006D7D2A" w:rsidRDefault="006D7D2A" w:rsidP="00E64679"/>
    <w:p w14:paraId="12C670E8" w14:textId="77777777" w:rsidR="006D7D2A" w:rsidRDefault="006D7D2A" w:rsidP="00E64679"/>
    <w:p w14:paraId="12C670E9" w14:textId="77777777" w:rsidR="006D7D2A" w:rsidRDefault="006D7D2A" w:rsidP="00E64679"/>
    <w:p w14:paraId="12C670EA" w14:textId="77777777" w:rsidR="006D7D2A" w:rsidRDefault="006D7D2A" w:rsidP="00E64679"/>
    <w:p w14:paraId="12C670EB" w14:textId="77777777" w:rsidR="006D7D2A" w:rsidRDefault="006D7D2A" w:rsidP="00E64679"/>
    <w:p w14:paraId="12C670EC" w14:textId="77777777" w:rsidR="006D7D2A" w:rsidRDefault="006D7D2A" w:rsidP="00E64679"/>
    <w:p w14:paraId="12C670ED" w14:textId="77777777" w:rsidR="006D7D2A" w:rsidRDefault="006D7D2A" w:rsidP="00E64679"/>
    <w:p w14:paraId="12C670EE" w14:textId="77777777" w:rsidR="006D7D2A" w:rsidRDefault="006D7D2A" w:rsidP="00E64679"/>
    <w:p w14:paraId="12C670EF" w14:textId="77777777" w:rsidR="006D7D2A" w:rsidRDefault="006D7D2A" w:rsidP="00E64679"/>
    <w:p w14:paraId="12C670F0" w14:textId="77777777" w:rsidR="00AA6841" w:rsidRDefault="00AA6841" w:rsidP="00E64679"/>
    <w:p w14:paraId="12C67124" w14:textId="77777777" w:rsidR="00212E88" w:rsidRPr="00212E88" w:rsidRDefault="00212E88" w:rsidP="008F3CD7">
      <w:pPr>
        <w:jc w:val="center"/>
        <w:rPr>
          <w:rFonts w:cs="Arial"/>
          <w:szCs w:val="20"/>
        </w:rPr>
      </w:pPr>
      <w:bookmarkStart w:id="0" w:name="_GoBack"/>
      <w:bookmarkEnd w:id="0"/>
    </w:p>
    <w:sectPr w:rsidR="00212E88" w:rsidRPr="00212E88" w:rsidSect="00F3751B">
      <w:headerReference w:type="default" r:id="rId9"/>
      <w:footerReference w:type="default" r:id="rId10"/>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E62A" w14:textId="77777777" w:rsidR="009A6EEF" w:rsidRDefault="009A6EEF">
      <w:r>
        <w:separator/>
      </w:r>
    </w:p>
  </w:endnote>
  <w:endnote w:type="continuationSeparator" w:id="0">
    <w:p w14:paraId="33DE5EDA" w14:textId="77777777" w:rsidR="009A6EEF" w:rsidRDefault="009A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712B" w14:textId="02795640" w:rsidR="00352A14" w:rsidRDefault="00352A14">
    <w:pPr>
      <w:pStyle w:val="Footer"/>
      <w:jc w:val="center"/>
    </w:pPr>
  </w:p>
  <w:p w14:paraId="12C6712C" w14:textId="77777777" w:rsidR="00C24557" w:rsidRDefault="00C2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2E13" w14:textId="77777777" w:rsidR="009A6EEF" w:rsidRDefault="009A6EEF">
      <w:r>
        <w:separator/>
      </w:r>
    </w:p>
  </w:footnote>
  <w:footnote w:type="continuationSeparator" w:id="0">
    <w:p w14:paraId="4CCD1ADC" w14:textId="77777777" w:rsidR="009A6EEF" w:rsidRDefault="009A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7129" w14:textId="0F99F7C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3D64F21"/>
    <w:multiLevelType w:val="hybridMultilevel"/>
    <w:tmpl w:val="7EFAA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4466E"/>
    <w:multiLevelType w:val="hybridMultilevel"/>
    <w:tmpl w:val="A40C0908"/>
    <w:lvl w:ilvl="0" w:tplc="0409000F">
      <w:start w:val="1"/>
      <w:numFmt w:val="decimal"/>
      <w:lvlText w:val="%1."/>
      <w:lvlJc w:val="left"/>
      <w:pPr>
        <w:tabs>
          <w:tab w:val="num" w:pos="1980"/>
        </w:tabs>
        <w:ind w:left="1980" w:hanging="36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01">
      <w:start w:val="1"/>
      <w:numFmt w:val="bullet"/>
      <w:lvlText w:val=""/>
      <w:lvlJc w:val="left"/>
      <w:pPr>
        <w:tabs>
          <w:tab w:val="num" w:pos="3420"/>
        </w:tabs>
        <w:ind w:left="3420" w:hanging="180"/>
      </w:pPr>
      <w:rPr>
        <w:rFonts w:ascii="Symbol" w:hAnsi="Symbo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23C381B"/>
    <w:multiLevelType w:val="hybridMultilevel"/>
    <w:tmpl w:val="25F22B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E2773"/>
    <w:multiLevelType w:val="hybridMultilevel"/>
    <w:tmpl w:val="3BD02B00"/>
    <w:lvl w:ilvl="0" w:tplc="0409000F">
      <w:start w:val="1"/>
      <w:numFmt w:val="decimal"/>
      <w:lvlText w:val="%1."/>
      <w:lvlJc w:val="left"/>
      <w:pPr>
        <w:tabs>
          <w:tab w:val="num" w:pos="1980"/>
        </w:tabs>
        <w:ind w:left="1980" w:hanging="36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01">
      <w:start w:val="1"/>
      <w:numFmt w:val="bullet"/>
      <w:lvlText w:val=""/>
      <w:lvlJc w:val="left"/>
      <w:pPr>
        <w:tabs>
          <w:tab w:val="num" w:pos="3420"/>
        </w:tabs>
        <w:ind w:left="3420" w:hanging="180"/>
      </w:pPr>
      <w:rPr>
        <w:rFonts w:ascii="Symbol" w:hAnsi="Symbo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1"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15:restartNumberingAfterBreak="0">
    <w:nsid w:val="7EEB3FA8"/>
    <w:multiLevelType w:val="hybridMultilevel"/>
    <w:tmpl w:val="863C129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3"/>
  </w:num>
  <w:num w:numId="3">
    <w:abstractNumId w:val="9"/>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5"/>
  </w:num>
  <w:num w:numId="9">
    <w:abstractNumId w:val="8"/>
  </w:num>
  <w:num w:numId="10">
    <w:abstractNumId w:val="12"/>
  </w:num>
  <w:num w:numId="11">
    <w:abstractNumId w:val="14"/>
  </w:num>
  <w:num w:numId="12">
    <w:abstractNumId w:val="16"/>
  </w:num>
  <w:num w:numId="13">
    <w:abstractNumId w:val="11"/>
  </w:num>
  <w:num w:numId="14">
    <w:abstractNumId w:val="10"/>
  </w:num>
  <w:num w:numId="15">
    <w:abstractNumId w:val="4"/>
  </w:num>
  <w:num w:numId="16">
    <w:abstractNumId w:val="2"/>
  </w:num>
  <w:num w:numId="17">
    <w:abstractNumId w:val="1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5AFB"/>
    <w:rsid w:val="00026ACB"/>
    <w:rsid w:val="00033885"/>
    <w:rsid w:val="000B48DB"/>
    <w:rsid w:val="000F62E3"/>
    <w:rsid w:val="00101A2D"/>
    <w:rsid w:val="001123D5"/>
    <w:rsid w:val="00134035"/>
    <w:rsid w:val="00145681"/>
    <w:rsid w:val="00157F1C"/>
    <w:rsid w:val="00186D07"/>
    <w:rsid w:val="0019293E"/>
    <w:rsid w:val="001D5C1E"/>
    <w:rsid w:val="00212E88"/>
    <w:rsid w:val="00222174"/>
    <w:rsid w:val="002B57BA"/>
    <w:rsid w:val="002B5E4F"/>
    <w:rsid w:val="002D034A"/>
    <w:rsid w:val="002D47F6"/>
    <w:rsid w:val="003018D3"/>
    <w:rsid w:val="00303D6C"/>
    <w:rsid w:val="003331A9"/>
    <w:rsid w:val="00335395"/>
    <w:rsid w:val="00340140"/>
    <w:rsid w:val="003404E3"/>
    <w:rsid w:val="00352A14"/>
    <w:rsid w:val="003D187A"/>
    <w:rsid w:val="004307CB"/>
    <w:rsid w:val="00432006"/>
    <w:rsid w:val="004371F3"/>
    <w:rsid w:val="0044200A"/>
    <w:rsid w:val="00480E89"/>
    <w:rsid w:val="004D269E"/>
    <w:rsid w:val="004D32EB"/>
    <w:rsid w:val="005266E7"/>
    <w:rsid w:val="0054288B"/>
    <w:rsid w:val="00566B77"/>
    <w:rsid w:val="00572EAF"/>
    <w:rsid w:val="005A3623"/>
    <w:rsid w:val="005B073C"/>
    <w:rsid w:val="00625F64"/>
    <w:rsid w:val="00636CD4"/>
    <w:rsid w:val="0066050C"/>
    <w:rsid w:val="00687F8E"/>
    <w:rsid w:val="006B5956"/>
    <w:rsid w:val="006B66A1"/>
    <w:rsid w:val="006C19C9"/>
    <w:rsid w:val="006D629B"/>
    <w:rsid w:val="006D7D2A"/>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F3CD7"/>
    <w:rsid w:val="009113E0"/>
    <w:rsid w:val="009420A3"/>
    <w:rsid w:val="009A6EEF"/>
    <w:rsid w:val="009E43CD"/>
    <w:rsid w:val="00A01994"/>
    <w:rsid w:val="00AA6841"/>
    <w:rsid w:val="00AE32EB"/>
    <w:rsid w:val="00B502A4"/>
    <w:rsid w:val="00B93EF7"/>
    <w:rsid w:val="00BA5493"/>
    <w:rsid w:val="00BC1B91"/>
    <w:rsid w:val="00BC4620"/>
    <w:rsid w:val="00C24557"/>
    <w:rsid w:val="00C81438"/>
    <w:rsid w:val="00C8415D"/>
    <w:rsid w:val="00CA08B6"/>
    <w:rsid w:val="00CA3D53"/>
    <w:rsid w:val="00CB51A4"/>
    <w:rsid w:val="00D020A7"/>
    <w:rsid w:val="00D02F81"/>
    <w:rsid w:val="00D206DA"/>
    <w:rsid w:val="00D2496C"/>
    <w:rsid w:val="00D27D32"/>
    <w:rsid w:val="00D818D9"/>
    <w:rsid w:val="00D9231A"/>
    <w:rsid w:val="00DC1141"/>
    <w:rsid w:val="00DC143E"/>
    <w:rsid w:val="00DC7917"/>
    <w:rsid w:val="00DD068A"/>
    <w:rsid w:val="00DE2AF1"/>
    <w:rsid w:val="00E45013"/>
    <w:rsid w:val="00E46041"/>
    <w:rsid w:val="00E62D63"/>
    <w:rsid w:val="00E64679"/>
    <w:rsid w:val="00E72B5D"/>
    <w:rsid w:val="00E83C56"/>
    <w:rsid w:val="00E90A1B"/>
    <w:rsid w:val="00F3751B"/>
    <w:rsid w:val="00F41C55"/>
    <w:rsid w:val="00F46527"/>
    <w:rsid w:val="00F617E0"/>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6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NormalWeb">
    <w:name w:val="Normal (Web)"/>
    <w:basedOn w:val="Normal"/>
    <w:uiPriority w:val="99"/>
    <w:unhideWhenUsed/>
    <w:rsid w:val="00A01994"/>
    <w:pPr>
      <w:spacing w:before="100" w:beforeAutospacing="1" w:after="100" w:afterAutospacing="1"/>
    </w:pPr>
    <w:rPr>
      <w:rFonts w:ascii="Times New Roman" w:hAnsi="Times New Roman"/>
      <w:sz w:val="24"/>
    </w:rPr>
  </w:style>
  <w:style w:type="paragraph" w:customStyle="1" w:styleId="SoKPolicySecondLevelContent">
    <w:name w:val="SoK Policy Second Level Content"/>
    <w:basedOn w:val="Normal"/>
    <w:rsid w:val="00A01994"/>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1994"/>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4193D9EF-2652-4FFA-8AB4-E8DD362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2015-11-05T19:18:00Z</dcterms:created>
  <dcterms:modified xsi:type="dcterms:W3CDTF">2016-09-28T13:23:00Z</dcterms:modified>
</cp:coreProperties>
</file>