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F5E38" w14:textId="77777777" w:rsidR="00861438" w:rsidRPr="00861438" w:rsidRDefault="00AD7260" w:rsidP="00C8415D">
      <w:pPr>
        <w:pStyle w:val="Heading1"/>
        <w:rPr>
          <w:sz w:val="36"/>
          <w:szCs w:val="36"/>
        </w:rPr>
      </w:pPr>
      <w:r>
        <w:rPr>
          <w:sz w:val="36"/>
          <w:szCs w:val="36"/>
        </w:rPr>
        <w:t xml:space="preserve">Data Protection </w:t>
      </w:r>
      <w:r w:rsidR="006B5956">
        <w:rPr>
          <w:sz w:val="36"/>
          <w:szCs w:val="36"/>
        </w:rPr>
        <w:t>Policy</w:t>
      </w:r>
    </w:p>
    <w:p w14:paraId="190F5E39" w14:textId="77777777" w:rsidR="00E64679" w:rsidRDefault="00E64679" w:rsidP="004307CB">
      <w:pPr>
        <w:spacing w:before="60" w:after="60"/>
        <w:rPr>
          <w:color w:val="808080" w:themeColor="background1" w:themeShade="80"/>
        </w:rPr>
      </w:pPr>
    </w:p>
    <w:p w14:paraId="190F5E3A" w14:textId="77777777" w:rsidR="00861438" w:rsidRDefault="004371F3" w:rsidP="004307CB">
      <w:pPr>
        <w:spacing w:before="60" w:after="60"/>
        <w:rPr>
          <w:color w:val="808080" w:themeColor="background1" w:themeShade="80"/>
        </w:rPr>
      </w:pPr>
      <w:r>
        <w:rPr>
          <w:color w:val="808080" w:themeColor="background1" w:themeShade="80"/>
        </w:rPr>
        <w:t>To use this template, simply</w:t>
      </w:r>
      <w:r w:rsidR="004307CB">
        <w:rPr>
          <w:color w:val="808080" w:themeColor="background1" w:themeShade="80"/>
        </w:rPr>
        <w:t xml:space="preserve"> </w:t>
      </w:r>
      <w:r>
        <w:rPr>
          <w:color w:val="808080" w:themeColor="background1" w:themeShade="80"/>
        </w:rPr>
        <w:t>replace the text in dark grey with information customized to your organization. When complete, delete all introductory or example text and convert all remaining text to black prior to distribution</w:t>
      </w:r>
      <w:r w:rsidR="00861438" w:rsidRPr="004307CB">
        <w:rPr>
          <w:color w:val="808080" w:themeColor="background1" w:themeShade="80"/>
        </w:rPr>
        <w:t xml:space="preserve">. </w:t>
      </w:r>
    </w:p>
    <w:p w14:paraId="190F5E3B" w14:textId="77777777" w:rsidR="00E64679" w:rsidRPr="004A33CE" w:rsidRDefault="00E64679" w:rsidP="00E646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7670"/>
      </w:tblGrid>
      <w:tr w:rsidR="00E64679" w:rsidRPr="003A5E67" w14:paraId="190F5E3E" w14:textId="77777777" w:rsidTr="00E64679">
        <w:trPr>
          <w:trHeight w:val="283"/>
        </w:trPr>
        <w:tc>
          <w:tcPr>
            <w:tcW w:w="2446" w:type="dxa"/>
            <w:shd w:val="clear" w:color="auto" w:fill="DDDECE"/>
            <w:vAlign w:val="center"/>
          </w:tcPr>
          <w:p w14:paraId="190F5E3C" w14:textId="77777777" w:rsidR="00E64679" w:rsidRPr="003A5E67" w:rsidRDefault="00E64679" w:rsidP="00E64679">
            <w:pPr>
              <w:jc w:val="center"/>
              <w:rPr>
                <w:b/>
              </w:rPr>
            </w:pPr>
            <w:r w:rsidRPr="003A5E67">
              <w:rPr>
                <w:b/>
              </w:rPr>
              <w:t>Policy Owner</w:t>
            </w:r>
          </w:p>
        </w:tc>
        <w:tc>
          <w:tcPr>
            <w:tcW w:w="7976" w:type="dxa"/>
            <w:shd w:val="clear" w:color="auto" w:fill="auto"/>
            <w:vAlign w:val="center"/>
          </w:tcPr>
          <w:p w14:paraId="190F5E3D" w14:textId="77777777" w:rsidR="00E64679" w:rsidRPr="003A5E67" w:rsidRDefault="00E64679" w:rsidP="00E64679">
            <w:pPr>
              <w:rPr>
                <w:color w:val="808080"/>
              </w:rPr>
            </w:pPr>
            <w:r w:rsidRPr="003A5E67">
              <w:rPr>
                <w:color w:val="808080"/>
              </w:rPr>
              <w:t>Name the person/group responsible for this policy’s management.</w:t>
            </w:r>
          </w:p>
        </w:tc>
      </w:tr>
      <w:tr w:rsidR="00E64679" w:rsidRPr="003A5E67" w14:paraId="190F5E41" w14:textId="77777777" w:rsidTr="00E64679">
        <w:trPr>
          <w:trHeight w:val="283"/>
        </w:trPr>
        <w:tc>
          <w:tcPr>
            <w:tcW w:w="2446" w:type="dxa"/>
            <w:shd w:val="clear" w:color="auto" w:fill="DDDECE"/>
            <w:vAlign w:val="center"/>
          </w:tcPr>
          <w:p w14:paraId="190F5E3F" w14:textId="77777777" w:rsidR="00E64679" w:rsidRPr="003A5E67" w:rsidRDefault="00E64679" w:rsidP="00E64679">
            <w:pPr>
              <w:jc w:val="center"/>
              <w:rPr>
                <w:b/>
              </w:rPr>
            </w:pPr>
            <w:r w:rsidRPr="003A5E67">
              <w:rPr>
                <w:b/>
              </w:rPr>
              <w:t>Policy Approver(s)</w:t>
            </w:r>
          </w:p>
        </w:tc>
        <w:tc>
          <w:tcPr>
            <w:tcW w:w="7976" w:type="dxa"/>
            <w:shd w:val="clear" w:color="auto" w:fill="auto"/>
            <w:vAlign w:val="center"/>
          </w:tcPr>
          <w:p w14:paraId="190F5E40" w14:textId="77777777" w:rsidR="00E64679" w:rsidRPr="003A5E67" w:rsidRDefault="00E64679" w:rsidP="00E64679">
            <w:pPr>
              <w:rPr>
                <w:color w:val="808080"/>
              </w:rPr>
            </w:pPr>
            <w:r w:rsidRPr="003A5E67">
              <w:rPr>
                <w:color w:val="808080"/>
              </w:rPr>
              <w:t>Name the person/group responsible for implementation approval of this policy.</w:t>
            </w:r>
          </w:p>
        </w:tc>
      </w:tr>
      <w:tr w:rsidR="00E64679" w:rsidRPr="003A5E67" w14:paraId="190F5E44" w14:textId="77777777" w:rsidTr="00E64679">
        <w:trPr>
          <w:trHeight w:val="283"/>
        </w:trPr>
        <w:tc>
          <w:tcPr>
            <w:tcW w:w="2446" w:type="dxa"/>
            <w:shd w:val="clear" w:color="auto" w:fill="DDDECE"/>
            <w:vAlign w:val="center"/>
          </w:tcPr>
          <w:p w14:paraId="190F5E42" w14:textId="77777777" w:rsidR="00E64679" w:rsidRPr="003A5E67" w:rsidRDefault="00E64679" w:rsidP="00E64679">
            <w:pPr>
              <w:jc w:val="center"/>
              <w:rPr>
                <w:b/>
              </w:rPr>
            </w:pPr>
            <w:r w:rsidRPr="003A5E67">
              <w:rPr>
                <w:b/>
              </w:rPr>
              <w:t>Related Policies</w:t>
            </w:r>
          </w:p>
        </w:tc>
        <w:tc>
          <w:tcPr>
            <w:tcW w:w="7976" w:type="dxa"/>
            <w:shd w:val="clear" w:color="auto" w:fill="auto"/>
            <w:vAlign w:val="center"/>
          </w:tcPr>
          <w:p w14:paraId="190F5E43" w14:textId="77777777" w:rsidR="00E64679" w:rsidRPr="003A5E67" w:rsidRDefault="00E64679" w:rsidP="00E64679">
            <w:pPr>
              <w:rPr>
                <w:color w:val="808080"/>
              </w:rPr>
            </w:pPr>
            <w:r w:rsidRPr="003A5E67">
              <w:rPr>
                <w:color w:val="808080"/>
              </w:rPr>
              <w:t>Name other related enterprise policies both within or external to this manual.</w:t>
            </w:r>
          </w:p>
        </w:tc>
      </w:tr>
      <w:tr w:rsidR="00E64679" w:rsidRPr="003A5E67" w14:paraId="190F5E47" w14:textId="77777777" w:rsidTr="00E64679">
        <w:trPr>
          <w:trHeight w:val="283"/>
        </w:trPr>
        <w:tc>
          <w:tcPr>
            <w:tcW w:w="2446" w:type="dxa"/>
            <w:shd w:val="clear" w:color="auto" w:fill="DDDECE"/>
            <w:vAlign w:val="center"/>
          </w:tcPr>
          <w:p w14:paraId="190F5E45" w14:textId="77777777" w:rsidR="00E64679" w:rsidRPr="003A5E67" w:rsidRDefault="00E64679" w:rsidP="00E64679">
            <w:pPr>
              <w:jc w:val="center"/>
              <w:rPr>
                <w:b/>
              </w:rPr>
            </w:pPr>
            <w:r w:rsidRPr="003A5E67">
              <w:rPr>
                <w:b/>
              </w:rPr>
              <w:t>Related Procedures</w:t>
            </w:r>
          </w:p>
        </w:tc>
        <w:tc>
          <w:tcPr>
            <w:tcW w:w="7976" w:type="dxa"/>
            <w:shd w:val="clear" w:color="auto" w:fill="auto"/>
            <w:vAlign w:val="center"/>
          </w:tcPr>
          <w:p w14:paraId="190F5E46" w14:textId="77777777" w:rsidR="00E64679" w:rsidRPr="003A5E67" w:rsidRDefault="00E64679" w:rsidP="00E64679">
            <w:pPr>
              <w:rPr>
                <w:color w:val="808080"/>
              </w:rPr>
            </w:pPr>
            <w:r w:rsidRPr="003A5E67">
              <w:rPr>
                <w:color w:val="808080"/>
              </w:rPr>
              <w:t>Name other related enterprise procedures both within or external to this manual.</w:t>
            </w:r>
          </w:p>
        </w:tc>
      </w:tr>
      <w:tr w:rsidR="00E64679" w:rsidRPr="003A5E67" w14:paraId="190F5E4A" w14:textId="77777777" w:rsidTr="00E64679">
        <w:trPr>
          <w:trHeight w:val="283"/>
        </w:trPr>
        <w:tc>
          <w:tcPr>
            <w:tcW w:w="2446" w:type="dxa"/>
            <w:shd w:val="clear" w:color="auto" w:fill="DDDECE"/>
            <w:vAlign w:val="center"/>
          </w:tcPr>
          <w:p w14:paraId="190F5E48" w14:textId="77777777" w:rsidR="00E64679" w:rsidRPr="003A5E67" w:rsidRDefault="00E64679" w:rsidP="00E64679">
            <w:pPr>
              <w:jc w:val="center"/>
              <w:rPr>
                <w:b/>
              </w:rPr>
            </w:pPr>
            <w:r w:rsidRPr="003A5E67">
              <w:rPr>
                <w:b/>
              </w:rPr>
              <w:t>Storage Location</w:t>
            </w:r>
          </w:p>
        </w:tc>
        <w:tc>
          <w:tcPr>
            <w:tcW w:w="7976" w:type="dxa"/>
            <w:shd w:val="clear" w:color="auto" w:fill="auto"/>
            <w:vAlign w:val="center"/>
          </w:tcPr>
          <w:p w14:paraId="190F5E49" w14:textId="77777777" w:rsidR="00E64679" w:rsidRPr="003A5E67" w:rsidRDefault="00E64679" w:rsidP="00E64679">
            <w:pPr>
              <w:rPr>
                <w:color w:val="808080"/>
              </w:rPr>
            </w:pPr>
            <w:r w:rsidRPr="003A5E67">
              <w:rPr>
                <w:color w:val="808080"/>
              </w:rPr>
              <w:t>Describe physical or digital location of copies of this policy.</w:t>
            </w:r>
          </w:p>
        </w:tc>
      </w:tr>
      <w:tr w:rsidR="00E64679" w:rsidRPr="003A5E67" w14:paraId="190F5E4D" w14:textId="77777777" w:rsidTr="00E64679">
        <w:trPr>
          <w:trHeight w:val="283"/>
        </w:trPr>
        <w:tc>
          <w:tcPr>
            <w:tcW w:w="2446" w:type="dxa"/>
            <w:shd w:val="clear" w:color="auto" w:fill="DDDECE"/>
            <w:vAlign w:val="center"/>
          </w:tcPr>
          <w:p w14:paraId="190F5E4B" w14:textId="77777777" w:rsidR="00E64679" w:rsidRPr="003A5E67" w:rsidRDefault="00E64679" w:rsidP="00E64679">
            <w:pPr>
              <w:jc w:val="center"/>
              <w:rPr>
                <w:b/>
              </w:rPr>
            </w:pPr>
            <w:r w:rsidRPr="003A5E67">
              <w:rPr>
                <w:b/>
              </w:rPr>
              <w:t>Effective Date</w:t>
            </w:r>
          </w:p>
        </w:tc>
        <w:tc>
          <w:tcPr>
            <w:tcW w:w="7976" w:type="dxa"/>
            <w:shd w:val="clear" w:color="auto" w:fill="auto"/>
            <w:vAlign w:val="center"/>
          </w:tcPr>
          <w:p w14:paraId="190F5E4C" w14:textId="77777777" w:rsidR="00E64679" w:rsidRPr="003A5E67" w:rsidRDefault="00E64679" w:rsidP="00E64679">
            <w:pPr>
              <w:rPr>
                <w:color w:val="808080"/>
              </w:rPr>
            </w:pPr>
            <w:r w:rsidRPr="003A5E67">
              <w:rPr>
                <w:color w:val="808080"/>
              </w:rPr>
              <w:t>List the date that this policy went into effect.</w:t>
            </w:r>
          </w:p>
        </w:tc>
      </w:tr>
      <w:tr w:rsidR="00E64679" w:rsidRPr="003A5E67" w14:paraId="190F5E50" w14:textId="77777777" w:rsidTr="00E64679">
        <w:trPr>
          <w:trHeight w:val="283"/>
        </w:trPr>
        <w:tc>
          <w:tcPr>
            <w:tcW w:w="2446" w:type="dxa"/>
            <w:shd w:val="clear" w:color="auto" w:fill="DDDECE"/>
            <w:vAlign w:val="center"/>
          </w:tcPr>
          <w:p w14:paraId="190F5E4E" w14:textId="77777777" w:rsidR="00E64679" w:rsidRPr="003A5E67" w:rsidRDefault="00E64679" w:rsidP="00E64679">
            <w:pPr>
              <w:jc w:val="center"/>
              <w:rPr>
                <w:b/>
              </w:rPr>
            </w:pPr>
            <w:r w:rsidRPr="003A5E67">
              <w:rPr>
                <w:b/>
              </w:rPr>
              <w:t>Next Review Date</w:t>
            </w:r>
          </w:p>
        </w:tc>
        <w:tc>
          <w:tcPr>
            <w:tcW w:w="7976" w:type="dxa"/>
            <w:shd w:val="clear" w:color="auto" w:fill="auto"/>
            <w:vAlign w:val="center"/>
          </w:tcPr>
          <w:p w14:paraId="190F5E4F" w14:textId="77777777" w:rsidR="00E64679" w:rsidRPr="003A5E67" w:rsidRDefault="00E64679" w:rsidP="00E64679">
            <w:pPr>
              <w:rPr>
                <w:color w:val="808080"/>
              </w:rPr>
            </w:pPr>
            <w:r w:rsidRPr="003A5E67">
              <w:rPr>
                <w:color w:val="808080"/>
              </w:rPr>
              <w:t>List the date that this policy must undergo review and update.</w:t>
            </w:r>
          </w:p>
        </w:tc>
      </w:tr>
    </w:tbl>
    <w:p w14:paraId="190F5E51" w14:textId="77777777" w:rsidR="00E64679" w:rsidRPr="004307CB" w:rsidRDefault="00E64679" w:rsidP="004307CB">
      <w:pPr>
        <w:spacing w:before="60" w:after="60"/>
        <w:rPr>
          <w:color w:val="808080" w:themeColor="background1" w:themeShade="80"/>
        </w:rPr>
      </w:pPr>
    </w:p>
    <w:p w14:paraId="190F5E52" w14:textId="77777777" w:rsidR="008B4684" w:rsidRDefault="00E64679" w:rsidP="008B4684">
      <w:pPr>
        <w:pStyle w:val="Heading1"/>
      </w:pPr>
      <w:r>
        <w:t>Purpose</w:t>
      </w:r>
    </w:p>
    <w:p w14:paraId="190F5E53" w14:textId="77777777" w:rsidR="00E64679" w:rsidRDefault="00E64679" w:rsidP="00E64679">
      <w:pPr>
        <w:rPr>
          <w:color w:val="808080"/>
        </w:rPr>
      </w:pPr>
      <w:r>
        <w:rPr>
          <w:color w:val="808080"/>
        </w:rPr>
        <w:t>Describe the factors or circumstances that mandate the existence of the policy. Also state the policy’s basic objectives</w:t>
      </w:r>
      <w:r w:rsidRPr="006543BD">
        <w:rPr>
          <w:color w:val="808080"/>
        </w:rPr>
        <w:t xml:space="preserve"> </w:t>
      </w:r>
      <w:r>
        <w:rPr>
          <w:color w:val="808080"/>
        </w:rPr>
        <w:t>and</w:t>
      </w:r>
      <w:r w:rsidRPr="00CB71A6">
        <w:rPr>
          <w:color w:val="808080"/>
        </w:rPr>
        <w:t xml:space="preserve"> what the policy is </w:t>
      </w:r>
      <w:r>
        <w:rPr>
          <w:color w:val="808080"/>
        </w:rPr>
        <w:t xml:space="preserve">meant </w:t>
      </w:r>
      <w:r w:rsidRPr="00CB71A6">
        <w:rPr>
          <w:color w:val="808080"/>
        </w:rPr>
        <w:t>to achieve.</w:t>
      </w:r>
      <w:r>
        <w:rPr>
          <w:color w:val="808080"/>
        </w:rPr>
        <w:t xml:space="preserve"> </w:t>
      </w:r>
    </w:p>
    <w:p w14:paraId="190F5E54" w14:textId="77777777" w:rsidR="00E64679" w:rsidRDefault="00E64679" w:rsidP="00E64679">
      <w:pPr>
        <w:rPr>
          <w:color w:val="808080"/>
        </w:rPr>
      </w:pPr>
    </w:p>
    <w:p w14:paraId="190F5E55" w14:textId="7AAF61AB" w:rsidR="002A5510" w:rsidRPr="00DE3E7E" w:rsidRDefault="002A5510" w:rsidP="002A5510">
      <w:pPr>
        <w:pStyle w:val="SoKPolicySecondLevelContent"/>
        <w:spacing w:after="120"/>
        <w:ind w:left="0"/>
        <w:rPr>
          <w:rFonts w:ascii="Arial" w:hAnsi="Arial" w:cs="Arial"/>
          <w:sz w:val="20"/>
        </w:rPr>
      </w:pPr>
      <w:r w:rsidRPr="00DE3E7E">
        <w:rPr>
          <w:rFonts w:ascii="Arial" w:hAnsi="Arial" w:cs="Arial"/>
          <w:sz w:val="20"/>
        </w:rPr>
        <w:t>Data protection mechanisms allow information to be provided a greater level of security than can be achieved with system-based protection mechanisms alone. Without data protection mechanisms</w:t>
      </w:r>
      <w:r w:rsidR="00C34C9D">
        <w:rPr>
          <w:rFonts w:ascii="Arial" w:hAnsi="Arial" w:cs="Arial"/>
          <w:sz w:val="20"/>
        </w:rPr>
        <w:t>,</w:t>
      </w:r>
      <w:r w:rsidRPr="00DE3E7E">
        <w:rPr>
          <w:rFonts w:ascii="Arial" w:hAnsi="Arial" w:cs="Arial"/>
          <w:sz w:val="20"/>
        </w:rPr>
        <w:t xml:space="preserve"> the potential exists that </w:t>
      </w:r>
      <w:r w:rsidRPr="00DE3E7E">
        <w:rPr>
          <w:rFonts w:ascii="Arial" w:hAnsi="Arial" w:cs="Arial"/>
          <w:color w:val="808080"/>
          <w:sz w:val="20"/>
        </w:rPr>
        <w:t>[Company ABC]</w:t>
      </w:r>
      <w:r w:rsidRPr="00DE3E7E">
        <w:rPr>
          <w:rFonts w:ascii="Arial" w:hAnsi="Arial" w:cs="Arial"/>
          <w:sz w:val="20"/>
        </w:rPr>
        <w:t>’s information assets could be exposed to an unnecessarily high level of risk, particularly in circumstances where data is taken out of the information system.</w:t>
      </w:r>
    </w:p>
    <w:p w14:paraId="190F5E56" w14:textId="77777777" w:rsidR="00E64679" w:rsidRDefault="00E64679" w:rsidP="00E64679">
      <w:pPr>
        <w:pStyle w:val="Heading1"/>
      </w:pPr>
      <w:r>
        <w:t>Scope</w:t>
      </w:r>
    </w:p>
    <w:p w14:paraId="190F5E57" w14:textId="60377613" w:rsidR="00E64679" w:rsidRDefault="00E64679" w:rsidP="00E64679">
      <w:pPr>
        <w:rPr>
          <w:color w:val="808080"/>
        </w:rPr>
      </w:pPr>
      <w:r w:rsidRPr="00CB71A6">
        <w:rPr>
          <w:color w:val="808080"/>
        </w:rPr>
        <w:t xml:space="preserve">Define to whom </w:t>
      </w:r>
      <w:r>
        <w:rPr>
          <w:color w:val="808080"/>
        </w:rPr>
        <w:t xml:space="preserve">and to what systems </w:t>
      </w:r>
      <w:r w:rsidRPr="00CB71A6">
        <w:rPr>
          <w:color w:val="808080"/>
        </w:rPr>
        <w:t>this policy applies.</w:t>
      </w:r>
      <w:r>
        <w:rPr>
          <w:color w:val="808080"/>
        </w:rPr>
        <w:t xml:space="preserve"> List the employees required to comply, or simply indicate “all” if all must comply. Also indicate any exclusions or exceptions</w:t>
      </w:r>
      <w:r w:rsidR="00C34C9D">
        <w:rPr>
          <w:color w:val="808080"/>
        </w:rPr>
        <w:t>,</w:t>
      </w:r>
      <w:r>
        <w:rPr>
          <w:color w:val="808080"/>
        </w:rPr>
        <w:t xml:space="preserve"> i.e. those people, elements</w:t>
      </w:r>
      <w:r w:rsidR="00C34C9D">
        <w:rPr>
          <w:color w:val="808080"/>
        </w:rPr>
        <w:t>,</w:t>
      </w:r>
      <w:r>
        <w:rPr>
          <w:color w:val="808080"/>
        </w:rPr>
        <w:t xml:space="preserve"> or situations that are not covered by this policy or where special consideration may be made.</w:t>
      </w:r>
    </w:p>
    <w:p w14:paraId="190F5E58" w14:textId="77777777" w:rsidR="002A5510" w:rsidRDefault="002A5510" w:rsidP="00E64679">
      <w:pPr>
        <w:rPr>
          <w:color w:val="808080"/>
        </w:rPr>
      </w:pPr>
    </w:p>
    <w:p w14:paraId="190F5E59" w14:textId="77777777" w:rsidR="002A5510" w:rsidRPr="00DE3E7E" w:rsidRDefault="002A5510" w:rsidP="002A5510">
      <w:pPr>
        <w:pStyle w:val="SoKPolicySecondLevelContent"/>
        <w:spacing w:after="120"/>
        <w:ind w:left="168"/>
        <w:rPr>
          <w:rFonts w:ascii="Arial" w:hAnsi="Arial" w:cs="Arial"/>
          <w:sz w:val="20"/>
        </w:rPr>
      </w:pPr>
      <w:r w:rsidRPr="00DE3E7E">
        <w:rPr>
          <w:rFonts w:ascii="Arial" w:hAnsi="Arial" w:cs="Arial"/>
          <w:sz w:val="20"/>
        </w:rPr>
        <w:t xml:space="preserve">This Data Protection Policy applies to all data assets of </w:t>
      </w:r>
      <w:r w:rsidRPr="00DE3E7E">
        <w:rPr>
          <w:rFonts w:ascii="Arial" w:hAnsi="Arial" w:cs="Arial"/>
          <w:color w:val="808080"/>
          <w:sz w:val="20"/>
        </w:rPr>
        <w:t>[Company ABC]</w:t>
      </w:r>
      <w:r w:rsidRPr="00DE3E7E">
        <w:rPr>
          <w:rFonts w:ascii="Arial" w:hAnsi="Arial" w:cs="Arial"/>
          <w:sz w:val="20"/>
        </w:rPr>
        <w:t>. Specifically, it includes:</w:t>
      </w:r>
    </w:p>
    <w:p w14:paraId="190F5E5A" w14:textId="77777777" w:rsidR="002A5510" w:rsidRPr="00DE3E7E" w:rsidRDefault="002A5510" w:rsidP="002A5510">
      <w:pPr>
        <w:pStyle w:val="SoKPolicySecondLevelContent"/>
        <w:numPr>
          <w:ilvl w:val="0"/>
          <w:numId w:val="14"/>
        </w:numPr>
        <w:tabs>
          <w:tab w:val="clear" w:pos="1608"/>
          <w:tab w:val="num" w:pos="714"/>
        </w:tabs>
        <w:ind w:left="720"/>
        <w:rPr>
          <w:rFonts w:ascii="Arial" w:hAnsi="Arial" w:cs="Arial"/>
          <w:sz w:val="20"/>
        </w:rPr>
      </w:pPr>
      <w:r w:rsidRPr="00DE3E7E">
        <w:rPr>
          <w:rFonts w:ascii="Arial" w:hAnsi="Arial" w:cs="Arial"/>
          <w:sz w:val="20"/>
        </w:rPr>
        <w:t xml:space="preserve">Intellectual Property (IP), whether owned by </w:t>
      </w:r>
      <w:r w:rsidRPr="00DE3E7E">
        <w:rPr>
          <w:rFonts w:ascii="Arial" w:hAnsi="Arial" w:cs="Arial"/>
          <w:color w:val="808080"/>
          <w:sz w:val="20"/>
        </w:rPr>
        <w:t>[Company ABC]</w:t>
      </w:r>
      <w:r w:rsidRPr="00DE3E7E">
        <w:rPr>
          <w:rFonts w:ascii="Arial" w:hAnsi="Arial" w:cs="Arial"/>
          <w:sz w:val="20"/>
        </w:rPr>
        <w:t xml:space="preserve"> or provided by a third party.</w:t>
      </w:r>
    </w:p>
    <w:p w14:paraId="190F5E5B" w14:textId="77777777" w:rsidR="002A5510" w:rsidRPr="00DE3E7E" w:rsidRDefault="002A5510" w:rsidP="002A5510">
      <w:pPr>
        <w:pStyle w:val="SoKPolicySecondLevelContent"/>
        <w:numPr>
          <w:ilvl w:val="0"/>
          <w:numId w:val="14"/>
        </w:numPr>
        <w:tabs>
          <w:tab w:val="clear" w:pos="1608"/>
          <w:tab w:val="num" w:pos="714"/>
        </w:tabs>
        <w:ind w:left="720"/>
        <w:rPr>
          <w:rFonts w:ascii="Arial" w:hAnsi="Arial" w:cs="Arial"/>
          <w:sz w:val="20"/>
        </w:rPr>
      </w:pPr>
      <w:r w:rsidRPr="00DE3E7E">
        <w:rPr>
          <w:rFonts w:ascii="Arial" w:hAnsi="Arial" w:cs="Arial"/>
          <w:sz w:val="20"/>
        </w:rPr>
        <w:t>Personally Identifiable Information (PII) for employees, clients</w:t>
      </w:r>
      <w:r>
        <w:rPr>
          <w:rFonts w:ascii="Arial" w:hAnsi="Arial" w:cs="Arial"/>
          <w:sz w:val="20"/>
        </w:rPr>
        <w:t>,</w:t>
      </w:r>
      <w:r w:rsidRPr="00DE3E7E">
        <w:rPr>
          <w:rFonts w:ascii="Arial" w:hAnsi="Arial" w:cs="Arial"/>
          <w:sz w:val="20"/>
        </w:rPr>
        <w:t xml:space="preserve"> or other third parties.</w:t>
      </w:r>
    </w:p>
    <w:p w14:paraId="190F5E5C" w14:textId="77777777" w:rsidR="002A5510" w:rsidRPr="00DE3E7E" w:rsidRDefault="002A5510" w:rsidP="002A5510">
      <w:pPr>
        <w:pStyle w:val="SoKPolicySecondLevelContent"/>
        <w:numPr>
          <w:ilvl w:val="0"/>
          <w:numId w:val="14"/>
        </w:numPr>
        <w:tabs>
          <w:tab w:val="clear" w:pos="1608"/>
          <w:tab w:val="num" w:pos="714"/>
        </w:tabs>
        <w:ind w:left="720"/>
        <w:rPr>
          <w:rFonts w:ascii="Arial" w:hAnsi="Arial" w:cs="Arial"/>
          <w:sz w:val="20"/>
        </w:rPr>
      </w:pPr>
      <w:r w:rsidRPr="00DE3E7E">
        <w:rPr>
          <w:rFonts w:ascii="Arial" w:hAnsi="Arial" w:cs="Arial"/>
          <w:sz w:val="20"/>
        </w:rPr>
        <w:t xml:space="preserve">Business Sensitive Information (BSI) for </w:t>
      </w:r>
      <w:r w:rsidRPr="00DE3E7E">
        <w:rPr>
          <w:rFonts w:ascii="Arial" w:hAnsi="Arial" w:cs="Arial"/>
          <w:color w:val="808080"/>
          <w:sz w:val="20"/>
        </w:rPr>
        <w:t>[Company ABC]</w:t>
      </w:r>
      <w:r w:rsidRPr="00DE3E7E">
        <w:rPr>
          <w:rFonts w:ascii="Arial" w:hAnsi="Arial" w:cs="Arial"/>
          <w:sz w:val="20"/>
        </w:rPr>
        <w:t>, partners</w:t>
      </w:r>
      <w:r>
        <w:rPr>
          <w:rFonts w:ascii="Arial" w:hAnsi="Arial" w:cs="Arial"/>
          <w:sz w:val="20"/>
        </w:rPr>
        <w:t>,</w:t>
      </w:r>
      <w:r w:rsidRPr="00DE3E7E">
        <w:rPr>
          <w:rFonts w:ascii="Arial" w:hAnsi="Arial" w:cs="Arial"/>
          <w:sz w:val="20"/>
        </w:rPr>
        <w:t xml:space="preserve"> or other third parties.</w:t>
      </w:r>
    </w:p>
    <w:p w14:paraId="190F5E5D" w14:textId="77777777" w:rsidR="002A5510" w:rsidRPr="00DE3E7E" w:rsidRDefault="002A5510" w:rsidP="002A5510">
      <w:pPr>
        <w:pStyle w:val="SoKPolicySecondLevelContent"/>
        <w:numPr>
          <w:ilvl w:val="0"/>
          <w:numId w:val="14"/>
        </w:numPr>
        <w:tabs>
          <w:tab w:val="clear" w:pos="1608"/>
          <w:tab w:val="num" w:pos="714"/>
        </w:tabs>
        <w:ind w:left="720"/>
        <w:rPr>
          <w:rFonts w:ascii="Arial" w:hAnsi="Arial" w:cs="Arial"/>
          <w:sz w:val="20"/>
        </w:rPr>
      </w:pPr>
      <w:r w:rsidRPr="00DE3E7E">
        <w:rPr>
          <w:rFonts w:ascii="Arial" w:hAnsi="Arial" w:cs="Arial"/>
          <w:sz w:val="20"/>
        </w:rPr>
        <w:t xml:space="preserve">Financial information for </w:t>
      </w:r>
      <w:r w:rsidRPr="00DE3E7E">
        <w:rPr>
          <w:rFonts w:ascii="Arial" w:hAnsi="Arial" w:cs="Arial"/>
          <w:color w:val="808080"/>
          <w:sz w:val="20"/>
        </w:rPr>
        <w:t>[Company ABC]</w:t>
      </w:r>
      <w:r w:rsidRPr="00DE3E7E">
        <w:rPr>
          <w:rFonts w:ascii="Arial" w:hAnsi="Arial" w:cs="Arial"/>
          <w:sz w:val="20"/>
        </w:rPr>
        <w:t>, its employees, clients</w:t>
      </w:r>
      <w:r>
        <w:rPr>
          <w:rFonts w:ascii="Arial" w:hAnsi="Arial" w:cs="Arial"/>
          <w:sz w:val="20"/>
        </w:rPr>
        <w:t>,</w:t>
      </w:r>
      <w:r w:rsidRPr="00DE3E7E">
        <w:rPr>
          <w:rFonts w:ascii="Arial" w:hAnsi="Arial" w:cs="Arial"/>
          <w:sz w:val="20"/>
        </w:rPr>
        <w:t xml:space="preserve"> or other third parties.</w:t>
      </w:r>
    </w:p>
    <w:p w14:paraId="190F5E5E" w14:textId="77777777" w:rsidR="002A5510" w:rsidRPr="00DE3E7E" w:rsidRDefault="002A5510" w:rsidP="002A5510">
      <w:pPr>
        <w:pStyle w:val="SoKPolicySecondLevelContent"/>
        <w:numPr>
          <w:ilvl w:val="0"/>
          <w:numId w:val="14"/>
        </w:numPr>
        <w:tabs>
          <w:tab w:val="clear" w:pos="1608"/>
          <w:tab w:val="num" w:pos="714"/>
        </w:tabs>
        <w:ind w:left="720"/>
        <w:rPr>
          <w:rFonts w:ascii="Arial" w:hAnsi="Arial" w:cs="Arial"/>
          <w:sz w:val="20"/>
        </w:rPr>
      </w:pPr>
      <w:r w:rsidRPr="00DE3E7E">
        <w:rPr>
          <w:rFonts w:ascii="Arial" w:hAnsi="Arial" w:cs="Arial"/>
          <w:sz w:val="20"/>
        </w:rPr>
        <w:t xml:space="preserve">Other non-public data or information assets deemed the property of </w:t>
      </w:r>
      <w:r w:rsidRPr="00DE3E7E">
        <w:rPr>
          <w:rFonts w:ascii="Arial" w:hAnsi="Arial" w:cs="Arial"/>
          <w:color w:val="808080"/>
          <w:sz w:val="20"/>
        </w:rPr>
        <w:t>[Company ABC]</w:t>
      </w:r>
      <w:r w:rsidRPr="00DE3E7E">
        <w:rPr>
          <w:rFonts w:ascii="Arial" w:hAnsi="Arial" w:cs="Arial"/>
          <w:sz w:val="20"/>
        </w:rPr>
        <w:t>.</w:t>
      </w:r>
    </w:p>
    <w:p w14:paraId="190F5E5F" w14:textId="77777777" w:rsidR="002A5510" w:rsidRPr="00DE3E7E" w:rsidRDefault="002A5510" w:rsidP="002A5510">
      <w:pPr>
        <w:pStyle w:val="SoKPolicySecondLevelContent"/>
        <w:numPr>
          <w:ilvl w:val="0"/>
          <w:numId w:val="14"/>
        </w:numPr>
        <w:tabs>
          <w:tab w:val="clear" w:pos="1608"/>
          <w:tab w:val="num" w:pos="714"/>
        </w:tabs>
        <w:ind w:left="720"/>
        <w:rPr>
          <w:rFonts w:ascii="Arial" w:hAnsi="Arial" w:cs="Arial"/>
          <w:sz w:val="20"/>
        </w:rPr>
      </w:pPr>
      <w:r w:rsidRPr="00DE3E7E">
        <w:rPr>
          <w:rFonts w:ascii="Arial" w:hAnsi="Arial" w:cs="Arial"/>
          <w:sz w:val="20"/>
        </w:rPr>
        <w:t xml:space="preserve">Other public data or information assets deemed the property of </w:t>
      </w:r>
      <w:r w:rsidRPr="00DE3E7E">
        <w:rPr>
          <w:rFonts w:ascii="Arial" w:hAnsi="Arial" w:cs="Arial"/>
          <w:color w:val="808080"/>
          <w:sz w:val="20"/>
        </w:rPr>
        <w:t>[Company ABC]</w:t>
      </w:r>
      <w:r w:rsidRPr="00DE3E7E">
        <w:rPr>
          <w:rFonts w:ascii="Arial" w:hAnsi="Arial" w:cs="Arial"/>
          <w:sz w:val="20"/>
        </w:rPr>
        <w:t>.</w:t>
      </w:r>
    </w:p>
    <w:p w14:paraId="190F5E60" w14:textId="77777777" w:rsidR="002A5510" w:rsidRDefault="002A5510" w:rsidP="00E64679">
      <w:pPr>
        <w:rPr>
          <w:color w:val="808080"/>
        </w:rPr>
      </w:pPr>
    </w:p>
    <w:p w14:paraId="190F5E61" w14:textId="77777777" w:rsidR="00B502A4" w:rsidRDefault="00B502A4" w:rsidP="00B502A4">
      <w:pPr>
        <w:pStyle w:val="Heading1"/>
      </w:pPr>
      <w:r>
        <w:t>Definitions</w:t>
      </w:r>
    </w:p>
    <w:p w14:paraId="190F5E62" w14:textId="4AB99D8E" w:rsidR="00B502A4" w:rsidRDefault="00B502A4" w:rsidP="00B502A4">
      <w:pPr>
        <w:rPr>
          <w:color w:val="808080"/>
        </w:rPr>
      </w:pPr>
      <w:r w:rsidRPr="00CB71A6">
        <w:rPr>
          <w:color w:val="808080"/>
        </w:rPr>
        <w:t>Define any key terms</w:t>
      </w:r>
      <w:r>
        <w:rPr>
          <w:color w:val="808080"/>
        </w:rPr>
        <w:t>, acronyms</w:t>
      </w:r>
      <w:r w:rsidR="00C34C9D">
        <w:rPr>
          <w:color w:val="808080"/>
        </w:rPr>
        <w:t>,</w:t>
      </w:r>
      <w:r w:rsidRPr="00CB71A6">
        <w:rPr>
          <w:color w:val="808080"/>
        </w:rPr>
        <w:t xml:space="preserve"> or concepts that will be used in the policy.</w:t>
      </w:r>
      <w:r>
        <w:rPr>
          <w:color w:val="808080"/>
        </w:rPr>
        <w:t xml:space="preserve"> A standard glossary approach is sufficient.</w:t>
      </w:r>
    </w:p>
    <w:p w14:paraId="190F5E63" w14:textId="77777777" w:rsidR="00B502A4" w:rsidRDefault="00B502A4" w:rsidP="00B502A4">
      <w:pPr>
        <w:rPr>
          <w:color w:val="808080"/>
        </w:rPr>
      </w:pPr>
    </w:p>
    <w:p w14:paraId="190F5E64" w14:textId="77777777" w:rsidR="00B502A4" w:rsidRDefault="00B502A4" w:rsidP="00B502A4">
      <w:pPr>
        <w:pStyle w:val="Heading1"/>
      </w:pPr>
      <w:r>
        <w:lastRenderedPageBreak/>
        <w:t>Governing Laws &amp; Regulations</w:t>
      </w:r>
    </w:p>
    <w:p w14:paraId="190F5E65" w14:textId="77777777" w:rsidR="00B502A4" w:rsidRPr="00CB71A6" w:rsidRDefault="00B502A4" w:rsidP="00B502A4">
      <w:pPr>
        <w:rPr>
          <w:color w:val="808080"/>
        </w:rPr>
      </w:pPr>
      <w:r w:rsidRPr="00CB71A6">
        <w:rPr>
          <w:color w:val="808080"/>
        </w:rPr>
        <w:t>If applicable, list any laws or regulations that govern the policy or with which the policy must comply.</w:t>
      </w:r>
      <w:r>
        <w:rPr>
          <w:color w:val="808080"/>
        </w:rPr>
        <w:t xml:space="preserve"> Confirm with the legal department that the list is full and accurate. If there are no pertinent governing laws or regulations, delete this section. </w:t>
      </w:r>
    </w:p>
    <w:p w14:paraId="190F5E66" w14:textId="77777777" w:rsidR="00DC1141" w:rsidRPr="00CB71A6" w:rsidRDefault="00DC1141" w:rsidP="00B502A4">
      <w:pPr>
        <w:rPr>
          <w:color w:val="808080"/>
        </w:rPr>
      </w:pPr>
    </w:p>
    <w:p w14:paraId="190F5E67" w14:textId="77777777" w:rsidR="00B502A4" w:rsidRDefault="00B502A4" w:rsidP="00B502A4">
      <w:pPr>
        <w:pStyle w:val="Heading1"/>
      </w:pPr>
      <w:r>
        <w:t>Policy Statements</w:t>
      </w:r>
    </w:p>
    <w:p w14:paraId="190F5E68" w14:textId="77777777" w:rsidR="00B502A4" w:rsidRDefault="00B502A4" w:rsidP="00B502A4">
      <w:pPr>
        <w:rPr>
          <w:color w:val="808080"/>
        </w:rPr>
      </w:pPr>
      <w:r>
        <w:rPr>
          <w:color w:val="808080"/>
        </w:rPr>
        <w:t>Describe the rules that comprise the policy. This typically takes the form of a series of short prescriptive and proscriptive statements. Sub-dividing this section into sub-sections may be required depending on the length or complexity of the policy.</w:t>
      </w:r>
    </w:p>
    <w:p w14:paraId="190F5E69" w14:textId="77777777" w:rsidR="00B502A4" w:rsidRDefault="00B502A4" w:rsidP="00B502A4">
      <w:pPr>
        <w:rPr>
          <w:color w:val="808080"/>
        </w:rPr>
      </w:pPr>
    </w:p>
    <w:p w14:paraId="190F5E6A" w14:textId="77777777" w:rsidR="005D680E" w:rsidRPr="00DE3E7E" w:rsidRDefault="005D680E" w:rsidP="005D680E">
      <w:pPr>
        <w:pStyle w:val="SoKPolicyThirdLevelContent"/>
        <w:numPr>
          <w:ilvl w:val="0"/>
          <w:numId w:val="15"/>
        </w:numPr>
        <w:tabs>
          <w:tab w:val="clear" w:pos="1980"/>
          <w:tab w:val="num" w:pos="532"/>
        </w:tabs>
        <w:spacing w:after="120"/>
        <w:ind w:left="532"/>
        <w:rPr>
          <w:rFonts w:ascii="Arial" w:hAnsi="Arial" w:cs="Arial"/>
          <w:sz w:val="20"/>
        </w:rPr>
      </w:pPr>
      <w:r w:rsidRPr="00DE3E7E">
        <w:rPr>
          <w:rFonts w:ascii="Arial" w:hAnsi="Arial" w:cs="Arial"/>
          <w:sz w:val="20"/>
        </w:rPr>
        <w:t>All privileged information, whether stored in system or out of system (via information media) will be protected by data protection mechanisms to ensure the highest levels of confidentiality, integrity</w:t>
      </w:r>
      <w:r>
        <w:rPr>
          <w:rFonts w:ascii="Arial" w:hAnsi="Arial" w:cs="Arial"/>
          <w:sz w:val="20"/>
        </w:rPr>
        <w:t>,</w:t>
      </w:r>
      <w:r w:rsidRPr="00DE3E7E">
        <w:rPr>
          <w:rFonts w:ascii="Arial" w:hAnsi="Arial" w:cs="Arial"/>
          <w:sz w:val="20"/>
        </w:rPr>
        <w:t xml:space="preserve"> and availability. Non-privileged information will be protected to ensure the highest levels of integrity and availability.</w:t>
      </w:r>
    </w:p>
    <w:p w14:paraId="190F5E6B" w14:textId="77777777" w:rsidR="005D680E" w:rsidRPr="00DE3E7E" w:rsidRDefault="005D680E" w:rsidP="005D680E">
      <w:pPr>
        <w:pStyle w:val="SoKPolicyThirdLevelContent"/>
        <w:numPr>
          <w:ilvl w:val="0"/>
          <w:numId w:val="15"/>
        </w:numPr>
        <w:tabs>
          <w:tab w:val="clear" w:pos="1980"/>
          <w:tab w:val="num" w:pos="532"/>
        </w:tabs>
        <w:spacing w:after="120"/>
        <w:ind w:left="532"/>
        <w:rPr>
          <w:rFonts w:ascii="Arial" w:hAnsi="Arial" w:cs="Arial"/>
          <w:sz w:val="20"/>
        </w:rPr>
      </w:pPr>
      <w:r w:rsidRPr="00DE3E7E">
        <w:rPr>
          <w:rFonts w:ascii="Arial" w:hAnsi="Arial" w:cs="Arial"/>
          <w:sz w:val="20"/>
        </w:rPr>
        <w:t>Only personnel that have previously been authorized are allowed to enter information into an information system. Inputs will be restricted according to granted permissions, though these restrictions may be lifted on a temporary basis based on pre-defined project responsibilities. In such circumstances, additional authorization is required and must be granted before restrictions are lifted.</w:t>
      </w:r>
    </w:p>
    <w:p w14:paraId="190F5E6C" w14:textId="77777777" w:rsidR="005D680E" w:rsidRPr="00DE3E7E" w:rsidRDefault="005D680E" w:rsidP="005D680E">
      <w:pPr>
        <w:pStyle w:val="SoKPolicyThirdLevelContent"/>
        <w:numPr>
          <w:ilvl w:val="0"/>
          <w:numId w:val="15"/>
        </w:numPr>
        <w:tabs>
          <w:tab w:val="clear" w:pos="1980"/>
          <w:tab w:val="num" w:pos="532"/>
        </w:tabs>
        <w:spacing w:after="120"/>
        <w:ind w:left="532"/>
        <w:rPr>
          <w:rFonts w:ascii="Arial" w:hAnsi="Arial" w:cs="Arial"/>
          <w:sz w:val="20"/>
        </w:rPr>
      </w:pPr>
      <w:r w:rsidRPr="00DE3E7E">
        <w:rPr>
          <w:rFonts w:ascii="Arial" w:hAnsi="Arial" w:cs="Arial"/>
          <w:sz w:val="20"/>
        </w:rPr>
        <w:t>Where possible, information systems will check entered information for accuracy, completeness, validity</w:t>
      </w:r>
      <w:r>
        <w:rPr>
          <w:rFonts w:ascii="Arial" w:hAnsi="Arial" w:cs="Arial"/>
          <w:sz w:val="20"/>
        </w:rPr>
        <w:t>,</w:t>
      </w:r>
      <w:r w:rsidRPr="00DE3E7E">
        <w:rPr>
          <w:rFonts w:ascii="Arial" w:hAnsi="Arial" w:cs="Arial"/>
          <w:sz w:val="20"/>
        </w:rPr>
        <w:t xml:space="preserve"> and authenticity. These checks will be performed as close to the point of information entry as possible and will attempt to ensure that data corruption does not occur or that entered information cannot be interpreted as system commands by the information system.</w:t>
      </w:r>
    </w:p>
    <w:p w14:paraId="190F5E6D" w14:textId="77777777" w:rsidR="005D680E" w:rsidRDefault="005D680E" w:rsidP="005D680E">
      <w:pPr>
        <w:pStyle w:val="SoKPolicyThirdLevelContent"/>
        <w:numPr>
          <w:ilvl w:val="0"/>
          <w:numId w:val="15"/>
        </w:numPr>
        <w:tabs>
          <w:tab w:val="clear" w:pos="1980"/>
          <w:tab w:val="num" w:pos="532"/>
        </w:tabs>
        <w:spacing w:after="120"/>
        <w:ind w:left="532"/>
        <w:rPr>
          <w:rFonts w:ascii="Arial" w:hAnsi="Arial" w:cs="Arial"/>
          <w:sz w:val="20"/>
        </w:rPr>
      </w:pPr>
      <w:r w:rsidRPr="00DE3E7E">
        <w:rPr>
          <w:rFonts w:ascii="Arial" w:hAnsi="Arial" w:cs="Arial"/>
          <w:sz w:val="20"/>
        </w:rPr>
        <w:t xml:space="preserve">Information systems will be configured such that they prevent unauthorized and unintended information transfer. Further, information systems will protect the integrity and confidentiality of transmitted information using </w:t>
      </w:r>
      <w:r w:rsidRPr="00DE3E7E">
        <w:rPr>
          <w:rFonts w:ascii="Arial" w:hAnsi="Arial" w:cs="Arial"/>
          <w:color w:val="808080"/>
          <w:sz w:val="20"/>
        </w:rPr>
        <w:t>[indicate controls – suggest session authentication, session encryption, data encryption]</w:t>
      </w:r>
      <w:r w:rsidRPr="00DE3E7E">
        <w:rPr>
          <w:rFonts w:ascii="Arial" w:hAnsi="Arial" w:cs="Arial"/>
          <w:sz w:val="20"/>
        </w:rPr>
        <w:t>.</w:t>
      </w:r>
    </w:p>
    <w:p w14:paraId="190F5E6E" w14:textId="77777777" w:rsidR="005D680E" w:rsidRDefault="005D680E" w:rsidP="005D680E">
      <w:pPr>
        <w:pStyle w:val="SoKPolicyThirdLevelContent"/>
        <w:spacing w:after="120"/>
        <w:ind w:left="0"/>
        <w:rPr>
          <w:rFonts w:ascii="Arial" w:hAnsi="Arial" w:cs="Arial"/>
          <w:sz w:val="20"/>
        </w:rPr>
      </w:pPr>
    </w:p>
    <w:p w14:paraId="190F5E6F" w14:textId="77777777" w:rsidR="005D680E" w:rsidRDefault="005D680E" w:rsidP="005D680E">
      <w:pPr>
        <w:spacing w:before="180"/>
        <w:rPr>
          <w:rFonts w:cs="Arial"/>
          <w:b/>
          <w:color w:val="808080" w:themeColor="background1" w:themeShade="80"/>
          <w:szCs w:val="20"/>
        </w:rPr>
      </w:pPr>
      <w:r>
        <w:rPr>
          <w:rFonts w:cs="Arial"/>
          <w:b/>
          <w:color w:val="808080" w:themeColor="background1" w:themeShade="80"/>
          <w:szCs w:val="20"/>
        </w:rPr>
        <w:t>Relevant Procedures</w:t>
      </w:r>
    </w:p>
    <w:p w14:paraId="190F5E70" w14:textId="77777777" w:rsidR="005D680E" w:rsidRDefault="005D680E" w:rsidP="005D680E">
      <w:pPr>
        <w:spacing w:before="180"/>
        <w:rPr>
          <w:rFonts w:cs="Arial"/>
          <w:color w:val="808080" w:themeColor="background1" w:themeShade="80"/>
          <w:szCs w:val="20"/>
        </w:rPr>
      </w:pPr>
      <w:r>
        <w:rPr>
          <w:rFonts w:cs="Arial"/>
          <w:color w:val="808080" w:themeColor="background1" w:themeShade="80"/>
          <w:szCs w:val="20"/>
        </w:rPr>
        <w:t>Consider creating formal procedure documents that reinforce and support the policy statements above. Note, it is best practice to house policies and procedures in separate documents to keep the content focused and reduce the number of times the policy must be reapproved by senior management.</w:t>
      </w:r>
    </w:p>
    <w:p w14:paraId="190F5E71" w14:textId="77777777" w:rsidR="005D680E" w:rsidRDefault="005D680E" w:rsidP="005D680E">
      <w:pPr>
        <w:pStyle w:val="SoKPolicyThirdLevelContent"/>
        <w:spacing w:after="120"/>
        <w:ind w:left="0"/>
        <w:rPr>
          <w:rFonts w:ascii="Arial" w:hAnsi="Arial" w:cs="Arial"/>
          <w:sz w:val="20"/>
        </w:rPr>
      </w:pPr>
    </w:p>
    <w:p w14:paraId="190F5E72" w14:textId="77777777" w:rsidR="005D680E" w:rsidRPr="005D680E" w:rsidRDefault="005D680E" w:rsidP="005D680E">
      <w:pPr>
        <w:rPr>
          <w:rFonts w:cs="Arial"/>
          <w:b/>
          <w:color w:val="767171" w:themeColor="background2" w:themeShade="80"/>
          <w:szCs w:val="20"/>
        </w:rPr>
      </w:pPr>
      <w:r w:rsidRPr="005D680E">
        <w:rPr>
          <w:rFonts w:cs="Arial"/>
          <w:b/>
          <w:color w:val="767171" w:themeColor="background2" w:themeShade="80"/>
          <w:szCs w:val="20"/>
        </w:rPr>
        <w:t>Procedure 1</w:t>
      </w:r>
    </w:p>
    <w:p w14:paraId="190F5E73" w14:textId="77777777" w:rsidR="005D680E" w:rsidRPr="005D680E" w:rsidRDefault="005D680E" w:rsidP="005D680E">
      <w:pPr>
        <w:rPr>
          <w:rFonts w:cs="Arial"/>
          <w:b/>
          <w:color w:val="767171" w:themeColor="background2" w:themeShade="80"/>
          <w:szCs w:val="20"/>
        </w:rPr>
      </w:pPr>
    </w:p>
    <w:p w14:paraId="190F5E74" w14:textId="77777777" w:rsidR="005D680E" w:rsidRPr="005D680E" w:rsidRDefault="005D680E" w:rsidP="005D680E">
      <w:pPr>
        <w:ind w:left="173"/>
        <w:rPr>
          <w:rFonts w:cs="Arial"/>
          <w:color w:val="767171" w:themeColor="background2" w:themeShade="80"/>
          <w:szCs w:val="20"/>
        </w:rPr>
      </w:pPr>
      <w:r w:rsidRPr="005D680E">
        <w:rPr>
          <w:rFonts w:cs="Arial"/>
          <w:color w:val="767171" w:themeColor="background2" w:themeShade="80"/>
          <w:szCs w:val="20"/>
        </w:rPr>
        <w:t>Configure systems to store confidential and sensitive data in a secure manner:</w:t>
      </w:r>
    </w:p>
    <w:p w14:paraId="190F5E75" w14:textId="77777777" w:rsidR="005D680E" w:rsidRPr="005D680E" w:rsidRDefault="005D680E" w:rsidP="005D680E">
      <w:pPr>
        <w:ind w:left="173"/>
        <w:rPr>
          <w:rFonts w:cs="Arial"/>
          <w:color w:val="767171" w:themeColor="background2" w:themeShade="80"/>
          <w:szCs w:val="20"/>
        </w:rPr>
      </w:pPr>
    </w:p>
    <w:p w14:paraId="190F5E76" w14:textId="77777777" w:rsidR="005D680E" w:rsidRPr="005D680E" w:rsidRDefault="005D680E" w:rsidP="005D680E">
      <w:pPr>
        <w:numPr>
          <w:ilvl w:val="4"/>
          <w:numId w:val="17"/>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Where possible, data encryption should be used for all confidential data at rest.</w:t>
      </w:r>
    </w:p>
    <w:p w14:paraId="190F5E77" w14:textId="77777777" w:rsidR="005D680E" w:rsidRPr="005D680E" w:rsidRDefault="005D680E" w:rsidP="005D680E">
      <w:pPr>
        <w:numPr>
          <w:ilvl w:val="4"/>
          <w:numId w:val="17"/>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Data encryption solutions should be centrally managed with key escrow.</w:t>
      </w:r>
    </w:p>
    <w:p w14:paraId="190F5E78" w14:textId="77777777" w:rsidR="005D680E" w:rsidRPr="005D680E" w:rsidRDefault="005D680E" w:rsidP="005D680E">
      <w:pPr>
        <w:ind w:left="720"/>
        <w:rPr>
          <w:rFonts w:cs="Arial"/>
          <w:color w:val="767171" w:themeColor="background2" w:themeShade="80"/>
          <w:szCs w:val="20"/>
        </w:rPr>
      </w:pPr>
    </w:p>
    <w:p w14:paraId="190F5E79" w14:textId="77777777" w:rsidR="005D680E" w:rsidRPr="005D680E" w:rsidRDefault="005D680E" w:rsidP="005D680E">
      <w:pPr>
        <w:rPr>
          <w:rFonts w:cs="Arial"/>
          <w:b/>
          <w:color w:val="767171" w:themeColor="background2" w:themeShade="80"/>
          <w:szCs w:val="20"/>
        </w:rPr>
      </w:pPr>
      <w:r w:rsidRPr="005D680E">
        <w:rPr>
          <w:rFonts w:cs="Arial"/>
          <w:b/>
          <w:color w:val="767171" w:themeColor="background2" w:themeShade="80"/>
          <w:szCs w:val="20"/>
        </w:rPr>
        <w:t>Procedure 2</w:t>
      </w:r>
    </w:p>
    <w:p w14:paraId="190F5E7A" w14:textId="77777777" w:rsidR="005D680E" w:rsidRPr="005D680E" w:rsidRDefault="005D680E" w:rsidP="005D680E">
      <w:pPr>
        <w:rPr>
          <w:rFonts w:cs="Arial"/>
          <w:b/>
          <w:color w:val="767171" w:themeColor="background2" w:themeShade="80"/>
          <w:szCs w:val="20"/>
        </w:rPr>
      </w:pPr>
    </w:p>
    <w:p w14:paraId="190F5E7B" w14:textId="77777777" w:rsidR="005D680E" w:rsidRPr="005D680E" w:rsidRDefault="005D680E" w:rsidP="005D680E">
      <w:pPr>
        <w:ind w:left="173"/>
        <w:rPr>
          <w:rFonts w:cs="Arial"/>
          <w:color w:val="767171" w:themeColor="background2" w:themeShade="80"/>
          <w:szCs w:val="20"/>
        </w:rPr>
      </w:pPr>
      <w:r w:rsidRPr="005D680E">
        <w:rPr>
          <w:rFonts w:cs="Arial"/>
          <w:color w:val="767171" w:themeColor="background2" w:themeShade="80"/>
          <w:szCs w:val="20"/>
        </w:rPr>
        <w:t>Positively dispose of data that is no longer required:</w:t>
      </w:r>
    </w:p>
    <w:p w14:paraId="190F5E7C" w14:textId="77777777" w:rsidR="005D680E" w:rsidRPr="005D680E" w:rsidRDefault="005D680E" w:rsidP="005D680E">
      <w:pPr>
        <w:ind w:left="173"/>
        <w:rPr>
          <w:rFonts w:cs="Arial"/>
          <w:color w:val="767171" w:themeColor="background2" w:themeShade="80"/>
          <w:szCs w:val="20"/>
        </w:rPr>
      </w:pPr>
    </w:p>
    <w:p w14:paraId="190F5E7D" w14:textId="77777777" w:rsidR="005D680E" w:rsidRPr="005D680E" w:rsidRDefault="005D680E" w:rsidP="005D680E">
      <w:pPr>
        <w:numPr>
          <w:ilvl w:val="4"/>
          <w:numId w:val="18"/>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Use software or hardware delete functions to remove non-confidential data from systems once that data is no longer required.</w:t>
      </w:r>
    </w:p>
    <w:p w14:paraId="190F5E7E" w14:textId="77777777" w:rsidR="005D680E" w:rsidRPr="005D680E" w:rsidRDefault="005D680E" w:rsidP="005D680E">
      <w:pPr>
        <w:numPr>
          <w:ilvl w:val="4"/>
          <w:numId w:val="18"/>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Use dedicated media wiping solutions to permanently remove confidential data from systems once that data is no longer required.</w:t>
      </w:r>
    </w:p>
    <w:p w14:paraId="190F5E7F" w14:textId="77777777" w:rsidR="005D680E" w:rsidRPr="005D680E" w:rsidRDefault="005D680E" w:rsidP="005D680E">
      <w:pPr>
        <w:rPr>
          <w:rFonts w:cs="Arial"/>
          <w:b/>
          <w:color w:val="767171" w:themeColor="background2" w:themeShade="80"/>
          <w:szCs w:val="20"/>
        </w:rPr>
      </w:pPr>
    </w:p>
    <w:p w14:paraId="190F5E80" w14:textId="77777777" w:rsidR="005D680E" w:rsidRPr="005D680E" w:rsidRDefault="005D680E" w:rsidP="005D680E">
      <w:pPr>
        <w:rPr>
          <w:rFonts w:cs="Arial"/>
          <w:b/>
          <w:color w:val="767171" w:themeColor="background2" w:themeShade="80"/>
          <w:szCs w:val="20"/>
        </w:rPr>
      </w:pPr>
    </w:p>
    <w:p w14:paraId="190F5E81" w14:textId="77777777" w:rsidR="005D680E" w:rsidRPr="005D680E" w:rsidRDefault="005D680E" w:rsidP="005D680E">
      <w:pPr>
        <w:rPr>
          <w:rFonts w:cs="Arial"/>
          <w:b/>
          <w:color w:val="767171" w:themeColor="background2" w:themeShade="80"/>
          <w:szCs w:val="20"/>
        </w:rPr>
      </w:pPr>
      <w:r w:rsidRPr="005D680E">
        <w:rPr>
          <w:rFonts w:cs="Arial"/>
          <w:b/>
          <w:color w:val="767171" w:themeColor="background2" w:themeShade="80"/>
          <w:szCs w:val="20"/>
        </w:rPr>
        <w:lastRenderedPageBreak/>
        <w:t>Procedure 3</w:t>
      </w:r>
    </w:p>
    <w:p w14:paraId="190F5E82" w14:textId="77777777" w:rsidR="005D680E" w:rsidRPr="005D680E" w:rsidRDefault="005D680E" w:rsidP="005D680E">
      <w:pPr>
        <w:rPr>
          <w:rFonts w:cs="Arial"/>
          <w:b/>
          <w:color w:val="767171" w:themeColor="background2" w:themeShade="80"/>
          <w:szCs w:val="20"/>
        </w:rPr>
      </w:pPr>
    </w:p>
    <w:p w14:paraId="190F5E83" w14:textId="77777777" w:rsidR="005D680E" w:rsidRPr="005D680E" w:rsidRDefault="005D680E" w:rsidP="005D680E">
      <w:pPr>
        <w:ind w:left="173"/>
        <w:rPr>
          <w:rFonts w:cs="Arial"/>
          <w:color w:val="767171" w:themeColor="background2" w:themeShade="80"/>
          <w:szCs w:val="20"/>
        </w:rPr>
      </w:pPr>
      <w:r w:rsidRPr="005D680E">
        <w:rPr>
          <w:rFonts w:cs="Arial"/>
          <w:color w:val="767171" w:themeColor="background2" w:themeShade="80"/>
          <w:szCs w:val="20"/>
        </w:rPr>
        <w:t>Configure systems to transmit confidential and sensitive data in a secure manner:</w:t>
      </w:r>
    </w:p>
    <w:p w14:paraId="190F5E84" w14:textId="77777777" w:rsidR="005D680E" w:rsidRPr="005D680E" w:rsidRDefault="005D680E" w:rsidP="005D680E">
      <w:pPr>
        <w:ind w:left="720"/>
        <w:rPr>
          <w:rFonts w:cs="Arial"/>
          <w:color w:val="767171" w:themeColor="background2" w:themeShade="80"/>
          <w:szCs w:val="20"/>
        </w:rPr>
      </w:pPr>
    </w:p>
    <w:p w14:paraId="190F5E85" w14:textId="77777777" w:rsidR="005D680E" w:rsidRPr="005D680E" w:rsidRDefault="005D680E" w:rsidP="005D680E">
      <w:pPr>
        <w:numPr>
          <w:ilvl w:val="4"/>
          <w:numId w:val="17"/>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Where possible, encrypted tunnels should be used for all electronic data transmissions.</w:t>
      </w:r>
    </w:p>
    <w:p w14:paraId="190F5E86" w14:textId="77777777" w:rsidR="005D680E" w:rsidRPr="005D680E" w:rsidRDefault="005D680E" w:rsidP="005D680E">
      <w:pPr>
        <w:numPr>
          <w:ilvl w:val="4"/>
          <w:numId w:val="17"/>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Whether encrypted tunnels can or cannot be used for electronic data transmissions, data should be directly encrypted prior to transmission.</w:t>
      </w:r>
    </w:p>
    <w:p w14:paraId="190F5E87" w14:textId="77777777" w:rsidR="005D680E" w:rsidRPr="005D680E" w:rsidRDefault="005D680E" w:rsidP="005D680E">
      <w:pPr>
        <w:numPr>
          <w:ilvl w:val="4"/>
          <w:numId w:val="17"/>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Message digest hashes should be created and supplied for all electronic data transmissions.</w:t>
      </w:r>
    </w:p>
    <w:p w14:paraId="190F5E88" w14:textId="77777777" w:rsidR="005D680E" w:rsidRPr="005D680E" w:rsidRDefault="005D680E" w:rsidP="005D680E">
      <w:pPr>
        <w:rPr>
          <w:rFonts w:cs="Arial"/>
          <w:b/>
          <w:color w:val="767171" w:themeColor="background2" w:themeShade="80"/>
          <w:szCs w:val="20"/>
        </w:rPr>
      </w:pPr>
    </w:p>
    <w:p w14:paraId="190F5E89" w14:textId="77777777" w:rsidR="005D680E" w:rsidRPr="005D680E" w:rsidRDefault="005D680E" w:rsidP="005D680E">
      <w:pPr>
        <w:rPr>
          <w:rFonts w:cs="Arial"/>
          <w:b/>
          <w:color w:val="767171" w:themeColor="background2" w:themeShade="80"/>
          <w:szCs w:val="20"/>
        </w:rPr>
      </w:pPr>
      <w:r w:rsidRPr="005D680E">
        <w:rPr>
          <w:rFonts w:cs="Arial"/>
          <w:b/>
          <w:color w:val="767171" w:themeColor="background2" w:themeShade="80"/>
          <w:szCs w:val="20"/>
        </w:rPr>
        <w:t>Procedure 4</w:t>
      </w:r>
    </w:p>
    <w:p w14:paraId="190F5E8A" w14:textId="77777777" w:rsidR="005D680E" w:rsidRPr="005D680E" w:rsidRDefault="005D680E" w:rsidP="005D680E">
      <w:pPr>
        <w:ind w:left="173"/>
        <w:rPr>
          <w:rFonts w:cs="Arial"/>
          <w:color w:val="767171" w:themeColor="background2" w:themeShade="80"/>
          <w:szCs w:val="20"/>
        </w:rPr>
      </w:pPr>
    </w:p>
    <w:p w14:paraId="190F5E8B" w14:textId="77777777" w:rsidR="005D680E" w:rsidRPr="005D680E" w:rsidRDefault="005D680E" w:rsidP="005D680E">
      <w:pPr>
        <w:ind w:left="173"/>
        <w:rPr>
          <w:rFonts w:cs="Arial"/>
          <w:color w:val="767171" w:themeColor="background2" w:themeShade="80"/>
          <w:szCs w:val="20"/>
        </w:rPr>
      </w:pPr>
      <w:r w:rsidRPr="005D680E">
        <w:rPr>
          <w:rFonts w:cs="Arial"/>
          <w:color w:val="767171" w:themeColor="background2" w:themeShade="80"/>
          <w:szCs w:val="20"/>
        </w:rPr>
        <w:t>Configure systems to restrict and validate data input:</w:t>
      </w:r>
    </w:p>
    <w:p w14:paraId="190F5E8C" w14:textId="77777777" w:rsidR="005D680E" w:rsidRPr="005D680E" w:rsidRDefault="005D680E" w:rsidP="005D680E">
      <w:pPr>
        <w:ind w:left="720"/>
        <w:rPr>
          <w:rFonts w:cs="Arial"/>
          <w:color w:val="767171" w:themeColor="background2" w:themeShade="80"/>
          <w:szCs w:val="20"/>
        </w:rPr>
      </w:pPr>
    </w:p>
    <w:p w14:paraId="190F5E8D" w14:textId="77777777" w:rsidR="005D680E" w:rsidRPr="005D680E" w:rsidRDefault="005D680E" w:rsidP="005D680E">
      <w:pPr>
        <w:numPr>
          <w:ilvl w:val="4"/>
          <w:numId w:val="17"/>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Data should only be input by those with appropriate accounts and account permissions.</w:t>
      </w:r>
    </w:p>
    <w:p w14:paraId="190F5E8E" w14:textId="77777777" w:rsidR="005D680E" w:rsidRPr="005D680E" w:rsidRDefault="005D680E" w:rsidP="005D680E">
      <w:pPr>
        <w:numPr>
          <w:ilvl w:val="4"/>
          <w:numId w:val="17"/>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Data should only be input according to established syntax parameters.</w:t>
      </w:r>
    </w:p>
    <w:p w14:paraId="190F5E8F" w14:textId="77777777" w:rsidR="005D680E" w:rsidRPr="005D680E" w:rsidRDefault="005D680E" w:rsidP="005D680E">
      <w:pPr>
        <w:numPr>
          <w:ilvl w:val="4"/>
          <w:numId w:val="16"/>
        </w:numPr>
        <w:tabs>
          <w:tab w:val="clear" w:pos="3240"/>
          <w:tab w:val="num" w:pos="720"/>
        </w:tabs>
        <w:ind w:left="720"/>
        <w:rPr>
          <w:rFonts w:cs="Arial"/>
          <w:color w:val="767171" w:themeColor="background2" w:themeShade="80"/>
          <w:szCs w:val="20"/>
        </w:rPr>
      </w:pPr>
      <w:r w:rsidRPr="005D680E">
        <w:rPr>
          <w:rFonts w:cs="Arial"/>
          <w:color w:val="767171" w:themeColor="background2" w:themeShade="80"/>
          <w:szCs w:val="20"/>
        </w:rPr>
        <w:t>Inputted data should be checked for accuracy, authenticity, completeness, and validity by the system.</w:t>
      </w:r>
    </w:p>
    <w:p w14:paraId="190F5E90" w14:textId="77777777" w:rsidR="005D680E" w:rsidRPr="00DE3E7E" w:rsidRDefault="005D680E" w:rsidP="005D680E">
      <w:pPr>
        <w:pStyle w:val="SoKPolicyThirdLevelContent"/>
        <w:ind w:left="0"/>
        <w:rPr>
          <w:rFonts w:ascii="Arial" w:hAnsi="Arial" w:cs="Arial"/>
          <w:sz w:val="20"/>
        </w:rPr>
      </w:pPr>
    </w:p>
    <w:p w14:paraId="190F5E91" w14:textId="77777777" w:rsidR="00DC1141" w:rsidRPr="00DC1141" w:rsidRDefault="00DC1141" w:rsidP="005D680E">
      <w:pPr>
        <w:pStyle w:val="ListNumber"/>
        <w:numPr>
          <w:ilvl w:val="0"/>
          <w:numId w:val="0"/>
        </w:numPr>
        <w:spacing w:after="0" w:line="240" w:lineRule="auto"/>
        <w:ind w:left="360" w:right="0" w:hanging="360"/>
        <w:rPr>
          <w:rFonts w:ascii="Arial" w:hAnsi="Arial" w:cs="Arial"/>
        </w:rPr>
      </w:pPr>
    </w:p>
    <w:p w14:paraId="190F5E92" w14:textId="77777777" w:rsidR="00B502A4" w:rsidRDefault="00B502A4" w:rsidP="00B502A4">
      <w:pPr>
        <w:pStyle w:val="Heading1"/>
      </w:pPr>
      <w:r>
        <w:t>Non-Compliance</w:t>
      </w:r>
    </w:p>
    <w:p w14:paraId="190F5E93" w14:textId="77777777" w:rsidR="00AA6841" w:rsidRDefault="00AA6841" w:rsidP="00AA6841">
      <w:pPr>
        <w:rPr>
          <w:color w:val="808080"/>
        </w:rPr>
      </w:pPr>
      <w:r>
        <w:rPr>
          <w:color w:val="808080"/>
        </w:rPr>
        <w:t>Clearly describe consequences (legal and/or disciplinary) for employee non-compliance with the policy. It may be pertinent to describe the escalation process for repeated non-compliance.</w:t>
      </w:r>
    </w:p>
    <w:p w14:paraId="190F5E94" w14:textId="77777777" w:rsidR="00B502A4" w:rsidRDefault="00B502A4" w:rsidP="00E64679"/>
    <w:p w14:paraId="190F5E95" w14:textId="77777777" w:rsidR="00AA6841" w:rsidRPr="00AA6841" w:rsidRDefault="00AA6841" w:rsidP="00AA6841">
      <w:pPr>
        <w:rPr>
          <w:rFonts w:cs="Arial"/>
          <w:color w:val="000000" w:themeColor="text1"/>
        </w:rPr>
      </w:pPr>
      <w:r w:rsidRPr="00AA6841">
        <w:rPr>
          <w:rFonts w:cs="Arial"/>
          <w:color w:val="000000" w:themeColor="text1"/>
        </w:rPr>
        <w:t xml:space="preserve">Violations of this policy will be treated like other allegations of wrongdoing at </w:t>
      </w:r>
      <w:r w:rsidRPr="00AA6841">
        <w:rPr>
          <w:rFonts w:cs="Arial"/>
          <w:color w:val="A6A6A6" w:themeColor="background1" w:themeShade="A6"/>
        </w:rPr>
        <w:t>[Company ABC]</w:t>
      </w:r>
      <w:r w:rsidRPr="00AA6841">
        <w:rPr>
          <w:rFonts w:cs="Arial"/>
          <w:color w:val="000000" w:themeColor="text1"/>
        </w:rPr>
        <w:t xml:space="preserve">. Allegations of misconduct will be adjudicated according to established procedures. Sanctions for </w:t>
      </w:r>
      <w:r>
        <w:rPr>
          <w:rFonts w:cs="Arial"/>
          <w:color w:val="000000" w:themeColor="text1"/>
        </w:rPr>
        <w:t>non-compliance</w:t>
      </w:r>
      <w:r w:rsidRPr="00AA6841">
        <w:rPr>
          <w:rFonts w:cs="Arial"/>
          <w:color w:val="000000" w:themeColor="text1"/>
        </w:rPr>
        <w:t xml:space="preserve"> may include, but are not limited to, one or more of the following:</w:t>
      </w:r>
    </w:p>
    <w:p w14:paraId="190F5E96" w14:textId="77777777" w:rsidR="00AA6841" w:rsidRPr="00AA6841" w:rsidRDefault="00AA6841" w:rsidP="00AA6841">
      <w:pPr>
        <w:rPr>
          <w:rFonts w:cs="Arial"/>
          <w:color w:val="000000" w:themeColor="text1"/>
        </w:rPr>
      </w:pPr>
    </w:p>
    <w:p w14:paraId="190F5E97" w14:textId="77777777" w:rsidR="00AA6841" w:rsidRPr="00AA6841" w:rsidRDefault="00AA6841" w:rsidP="00AA6841">
      <w:pPr>
        <w:pStyle w:val="ListNumber2"/>
        <w:rPr>
          <w:rFonts w:cs="Arial"/>
          <w:color w:val="000000" w:themeColor="text1"/>
        </w:rPr>
      </w:pPr>
      <w:r w:rsidRPr="00AA6841">
        <w:rPr>
          <w:rFonts w:cs="Arial"/>
          <w:color w:val="000000" w:themeColor="text1"/>
        </w:rPr>
        <w:t xml:space="preserve">Disciplinary action according to applicable </w:t>
      </w:r>
      <w:r w:rsidRPr="00AA6841">
        <w:rPr>
          <w:rFonts w:cs="Arial"/>
          <w:color w:val="A6A6A6" w:themeColor="background1" w:themeShade="A6"/>
        </w:rPr>
        <w:t xml:space="preserve">[Company ABC] </w:t>
      </w:r>
      <w:r w:rsidRPr="00AA6841">
        <w:rPr>
          <w:rFonts w:cs="Arial"/>
          <w:color w:val="000000" w:themeColor="text1"/>
        </w:rPr>
        <w:t xml:space="preserve">policies; </w:t>
      </w:r>
    </w:p>
    <w:p w14:paraId="190F5E98" w14:textId="77777777" w:rsidR="00AA6841" w:rsidRPr="00AA6841" w:rsidRDefault="00AA6841" w:rsidP="00AA6841">
      <w:pPr>
        <w:pStyle w:val="ListNumber2"/>
        <w:rPr>
          <w:rFonts w:cs="Arial"/>
          <w:color w:val="000000" w:themeColor="text1"/>
        </w:rPr>
      </w:pPr>
      <w:r w:rsidRPr="00AA6841">
        <w:rPr>
          <w:rFonts w:cs="Arial"/>
          <w:color w:val="000000" w:themeColor="text1"/>
        </w:rPr>
        <w:t>Termination of employment; and/or</w:t>
      </w:r>
    </w:p>
    <w:p w14:paraId="190F5E99" w14:textId="77777777" w:rsidR="00AA6841" w:rsidRPr="00AA6841" w:rsidRDefault="00AA6841" w:rsidP="00AA6841">
      <w:pPr>
        <w:pStyle w:val="ListNumber2"/>
        <w:rPr>
          <w:rFonts w:cs="Arial"/>
          <w:color w:val="000000" w:themeColor="text1"/>
        </w:rPr>
      </w:pPr>
      <w:r w:rsidRPr="00AA6841">
        <w:rPr>
          <w:rFonts w:cs="Arial"/>
          <w:color w:val="000000" w:themeColor="text1"/>
        </w:rPr>
        <w:t>Legal action according to applicable laws and contractual agreements.</w:t>
      </w:r>
    </w:p>
    <w:p w14:paraId="190F5E9A" w14:textId="77777777" w:rsidR="00AA6841" w:rsidRDefault="00AA6841" w:rsidP="00E64679"/>
    <w:p w14:paraId="190F5E9B" w14:textId="77777777" w:rsidR="00AA6841" w:rsidRDefault="00AA6841" w:rsidP="00E64679">
      <w:bookmarkStart w:id="0" w:name="_GoBack"/>
      <w:bookmarkEnd w:id="0"/>
    </w:p>
    <w:sectPr w:rsidR="00AA6841" w:rsidSect="00F3751B">
      <w:headerReference w:type="default" r:id="rId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2B032" w14:textId="77777777" w:rsidR="00711710" w:rsidRDefault="00711710">
      <w:r>
        <w:separator/>
      </w:r>
    </w:p>
  </w:endnote>
  <w:endnote w:type="continuationSeparator" w:id="0">
    <w:p w14:paraId="4401647D" w14:textId="77777777" w:rsidR="00711710" w:rsidRDefault="0071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67B7C" w14:textId="77777777" w:rsidR="00711710" w:rsidRDefault="00711710">
      <w:r>
        <w:separator/>
      </w:r>
    </w:p>
  </w:footnote>
  <w:footnote w:type="continuationSeparator" w:id="0">
    <w:p w14:paraId="5BDDA3B8" w14:textId="77777777" w:rsidR="00711710" w:rsidRDefault="00711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5ED4" w14:textId="4FC1F52F" w:rsidR="003331A9" w:rsidRDefault="006D629B" w:rsidP="006D629B">
    <w:pPr>
      <w:pStyle w:val="Header"/>
      <w:tabs>
        <w:tab w:val="clear" w:pos="4320"/>
        <w:tab w:val="clear" w:pos="8640"/>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A6A977A"/>
    <w:lvl w:ilvl="0">
      <w:start w:val="1"/>
      <w:numFmt w:val="decimal"/>
      <w:pStyle w:val="ListNumber2"/>
      <w:lvlText w:val="%1."/>
      <w:lvlJc w:val="left"/>
      <w:pPr>
        <w:tabs>
          <w:tab w:val="num" w:pos="720"/>
        </w:tabs>
        <w:ind w:left="720" w:hanging="360"/>
      </w:pPr>
    </w:lvl>
  </w:abstractNum>
  <w:abstractNum w:abstractNumId="1" w15:restartNumberingAfterBreak="0">
    <w:nsid w:val="05455126"/>
    <w:multiLevelType w:val="multilevel"/>
    <w:tmpl w:val="64B864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b/>
      </w:rPr>
    </w:lvl>
    <w:lvl w:ilvl="4">
      <w:start w:val="1"/>
      <w:numFmt w:val="bullet"/>
      <w:lvlText w:val=""/>
      <w:lvlJc w:val="left"/>
      <w:pPr>
        <w:tabs>
          <w:tab w:val="num" w:pos="3240"/>
        </w:tabs>
        <w:ind w:left="3240" w:hanging="360"/>
      </w:pPr>
      <w:rPr>
        <w:rFonts w:ascii="Symbol" w:hAnsi="Symbol" w:hint="default"/>
        <w:color w:val="767171" w:themeColor="background2" w:themeShade="80"/>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B0E2773"/>
    <w:multiLevelType w:val="hybridMultilevel"/>
    <w:tmpl w:val="FDA2C144"/>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1DE4781A"/>
    <w:multiLevelType w:val="hybridMultilevel"/>
    <w:tmpl w:val="99641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A628BE"/>
    <w:multiLevelType w:val="hybridMultilevel"/>
    <w:tmpl w:val="09D489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56750"/>
    <w:multiLevelType w:val="multilevel"/>
    <w:tmpl w:val="ED4C3A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decimal"/>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767171" w:themeColor="background2" w:themeShade="80"/>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42655944"/>
    <w:multiLevelType w:val="hybridMultilevel"/>
    <w:tmpl w:val="C9C877E4"/>
    <w:lvl w:ilvl="0" w:tplc="EE223FD8">
      <w:start w:val="1"/>
      <w:numFmt w:val="decimal"/>
      <w:pStyle w:val="ListNumb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175DFA"/>
    <w:multiLevelType w:val="hybridMultilevel"/>
    <w:tmpl w:val="142AF134"/>
    <w:lvl w:ilvl="0" w:tplc="5060ED0E">
      <w:start w:val="1"/>
      <w:numFmt w:val="bullet"/>
      <w:lvlText w:val=""/>
      <w:lvlJc w:val="left"/>
      <w:pPr>
        <w:tabs>
          <w:tab w:val="num" w:pos="1608"/>
        </w:tabs>
        <w:ind w:left="160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10" w15:restartNumberingAfterBreak="0">
    <w:nsid w:val="54BD1C21"/>
    <w:multiLevelType w:val="hybridMultilevel"/>
    <w:tmpl w:val="CC8E1F82"/>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1" w15:restartNumberingAfterBreak="0">
    <w:nsid w:val="6DA40DF2"/>
    <w:multiLevelType w:val="hybridMultilevel"/>
    <w:tmpl w:val="55F636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C60834"/>
    <w:multiLevelType w:val="multilevel"/>
    <w:tmpl w:val="6598F35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627"/>
        </w:tabs>
        <w:ind w:left="1627" w:hanging="720"/>
      </w:pPr>
      <w:rPr>
        <w:rFonts w:hint="default"/>
      </w:rPr>
    </w:lvl>
    <w:lvl w:ilvl="3">
      <w:start w:val="1"/>
      <w:numFmt w:val="lowerLetter"/>
      <w:lvlText w:val="%1.%2.%3.%4"/>
      <w:lvlJc w:val="left"/>
      <w:pPr>
        <w:tabs>
          <w:tab w:val="num" w:pos="2520"/>
        </w:tabs>
        <w:ind w:left="2520" w:hanging="893"/>
      </w:pPr>
      <w:rPr>
        <w:rFonts w:hint="default"/>
      </w:rPr>
    </w:lvl>
    <w:lvl w:ilvl="4">
      <w:start w:val="1"/>
      <w:numFmt w:val="bullet"/>
      <w:lvlText w:val=""/>
      <w:lvlJc w:val="left"/>
      <w:pPr>
        <w:tabs>
          <w:tab w:val="num" w:pos="3240"/>
        </w:tabs>
        <w:ind w:left="3240" w:hanging="360"/>
      </w:pPr>
      <w:rPr>
        <w:rFonts w:ascii="Symbol" w:hAnsi="Symbol" w:hint="default"/>
        <w:color w:val="767171" w:themeColor="background2" w:themeShade="80"/>
      </w:rPr>
    </w:lvl>
    <w:lvl w:ilvl="5">
      <w:start w:val="1"/>
      <w:numFmt w:val="bullet"/>
      <w:lvlText w:val="o"/>
      <w:lvlJc w:val="left"/>
      <w:pPr>
        <w:tabs>
          <w:tab w:val="num" w:pos="3960"/>
        </w:tabs>
        <w:ind w:left="3960" w:hanging="360"/>
      </w:pPr>
      <w:rPr>
        <w:rFonts w:ascii="Courier New" w:hAnsi="Courier New" w:hint="default"/>
        <w:color w:val="auto"/>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761C4F25"/>
    <w:multiLevelType w:val="hybridMultilevel"/>
    <w:tmpl w:val="073CF5BE"/>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79102080"/>
    <w:multiLevelType w:val="hybridMultilevel"/>
    <w:tmpl w:val="597C6824"/>
    <w:lvl w:ilvl="0" w:tplc="EE223FD8">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3F1652"/>
    <w:multiLevelType w:val="hybridMultilevel"/>
    <w:tmpl w:val="E6D65010"/>
    <w:lvl w:ilvl="0" w:tplc="1009000F">
      <w:start w:val="1"/>
      <w:numFmt w:val="decimal"/>
      <w:lvlText w:val="%1."/>
      <w:lvlJc w:val="left"/>
      <w:pPr>
        <w:ind w:left="2520" w:hanging="360"/>
      </w:p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num w:numId="1">
    <w:abstractNumId w:val="5"/>
  </w:num>
  <w:num w:numId="2">
    <w:abstractNumId w:val="12"/>
  </w:num>
  <w:num w:numId="3">
    <w:abstractNumId w:val="8"/>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15"/>
  </w:num>
  <w:num w:numId="9">
    <w:abstractNumId w:val="7"/>
  </w:num>
  <w:num w:numId="10">
    <w:abstractNumId w:val="11"/>
  </w:num>
  <w:num w:numId="11">
    <w:abstractNumId w:val="14"/>
  </w:num>
  <w:num w:numId="12">
    <w:abstractNumId w:val="16"/>
  </w:num>
  <w:num w:numId="13">
    <w:abstractNumId w:val="10"/>
  </w:num>
  <w:num w:numId="14">
    <w:abstractNumId w:val="9"/>
  </w:num>
  <w:num w:numId="15">
    <w:abstractNumId w:val="2"/>
  </w:num>
  <w:num w:numId="16">
    <w:abstractNumId w:val="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17"/>
    <w:rsid w:val="000166FE"/>
    <w:rsid w:val="00026ACB"/>
    <w:rsid w:val="000B48DB"/>
    <w:rsid w:val="000F62E3"/>
    <w:rsid w:val="00101A2D"/>
    <w:rsid w:val="001123D5"/>
    <w:rsid w:val="00134035"/>
    <w:rsid w:val="00145681"/>
    <w:rsid w:val="00186D07"/>
    <w:rsid w:val="0019293E"/>
    <w:rsid w:val="001D5C1E"/>
    <w:rsid w:val="00212E88"/>
    <w:rsid w:val="00222174"/>
    <w:rsid w:val="002A5510"/>
    <w:rsid w:val="002B5E4F"/>
    <w:rsid w:val="002D034A"/>
    <w:rsid w:val="002D47F6"/>
    <w:rsid w:val="003018D3"/>
    <w:rsid w:val="00303D6C"/>
    <w:rsid w:val="00323142"/>
    <w:rsid w:val="0033176A"/>
    <w:rsid w:val="003331A9"/>
    <w:rsid w:val="00340140"/>
    <w:rsid w:val="003404E3"/>
    <w:rsid w:val="00352A14"/>
    <w:rsid w:val="003D187A"/>
    <w:rsid w:val="004307CB"/>
    <w:rsid w:val="00432006"/>
    <w:rsid w:val="004350CC"/>
    <w:rsid w:val="004371F3"/>
    <w:rsid w:val="0044200A"/>
    <w:rsid w:val="00480E89"/>
    <w:rsid w:val="00481531"/>
    <w:rsid w:val="004D269E"/>
    <w:rsid w:val="004D32EB"/>
    <w:rsid w:val="005266E7"/>
    <w:rsid w:val="0054288B"/>
    <w:rsid w:val="00572EAF"/>
    <w:rsid w:val="005A2F4B"/>
    <w:rsid w:val="005A3623"/>
    <w:rsid w:val="005B073C"/>
    <w:rsid w:val="005D680E"/>
    <w:rsid w:val="00625F64"/>
    <w:rsid w:val="00636CD4"/>
    <w:rsid w:val="0066050C"/>
    <w:rsid w:val="00687F8E"/>
    <w:rsid w:val="006B5956"/>
    <w:rsid w:val="006B66A1"/>
    <w:rsid w:val="006C19C9"/>
    <w:rsid w:val="006D629B"/>
    <w:rsid w:val="006F7939"/>
    <w:rsid w:val="00701BB0"/>
    <w:rsid w:val="00711710"/>
    <w:rsid w:val="0072444D"/>
    <w:rsid w:val="007521AB"/>
    <w:rsid w:val="007547E6"/>
    <w:rsid w:val="007624CE"/>
    <w:rsid w:val="00797D60"/>
    <w:rsid w:val="007A6042"/>
    <w:rsid w:val="007A6EC1"/>
    <w:rsid w:val="007B4ACB"/>
    <w:rsid w:val="007D03A1"/>
    <w:rsid w:val="007D06EE"/>
    <w:rsid w:val="007E56C8"/>
    <w:rsid w:val="007F767E"/>
    <w:rsid w:val="00804A11"/>
    <w:rsid w:val="0081572D"/>
    <w:rsid w:val="0086068F"/>
    <w:rsid w:val="00861438"/>
    <w:rsid w:val="00866FC1"/>
    <w:rsid w:val="008B4684"/>
    <w:rsid w:val="008C5E54"/>
    <w:rsid w:val="008D0C7B"/>
    <w:rsid w:val="008F3CD7"/>
    <w:rsid w:val="009113E0"/>
    <w:rsid w:val="009420A3"/>
    <w:rsid w:val="009E43CD"/>
    <w:rsid w:val="00A06B03"/>
    <w:rsid w:val="00AA6841"/>
    <w:rsid w:val="00AD7260"/>
    <w:rsid w:val="00AE32EB"/>
    <w:rsid w:val="00B502A4"/>
    <w:rsid w:val="00B732D6"/>
    <w:rsid w:val="00B93EF7"/>
    <w:rsid w:val="00BA5493"/>
    <w:rsid w:val="00BC1B91"/>
    <w:rsid w:val="00C24557"/>
    <w:rsid w:val="00C34C9D"/>
    <w:rsid w:val="00C81438"/>
    <w:rsid w:val="00C8415D"/>
    <w:rsid w:val="00CA08B6"/>
    <w:rsid w:val="00CB51A4"/>
    <w:rsid w:val="00D020A7"/>
    <w:rsid w:val="00D02F81"/>
    <w:rsid w:val="00D206DA"/>
    <w:rsid w:val="00D2496C"/>
    <w:rsid w:val="00D27D32"/>
    <w:rsid w:val="00DC1141"/>
    <w:rsid w:val="00DC143E"/>
    <w:rsid w:val="00DC7917"/>
    <w:rsid w:val="00DD068A"/>
    <w:rsid w:val="00DE2AF1"/>
    <w:rsid w:val="00E258C2"/>
    <w:rsid w:val="00E46041"/>
    <w:rsid w:val="00E62D63"/>
    <w:rsid w:val="00E64679"/>
    <w:rsid w:val="00E72B5D"/>
    <w:rsid w:val="00E83C56"/>
    <w:rsid w:val="00E90A1B"/>
    <w:rsid w:val="00F3751B"/>
    <w:rsid w:val="00F41C55"/>
    <w:rsid w:val="00F46527"/>
    <w:rsid w:val="00FC0A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0F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84"/>
    <w:rPr>
      <w:rFonts w:ascii="Arial" w:hAnsi="Arial"/>
      <w:szCs w:val="24"/>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F3751B"/>
    <w:pPr>
      <w:keepNext/>
      <w:spacing w:before="240" w:after="60"/>
      <w:outlineLvl w:val="1"/>
    </w:pPr>
    <w:rPr>
      <w:rFonts w:cs="Arial"/>
      <w:b/>
      <w:bCs/>
      <w:iCs/>
      <w:sz w:val="28"/>
      <w:szCs w:val="28"/>
    </w:rPr>
  </w:style>
  <w:style w:type="paragraph" w:styleId="Heading3">
    <w:name w:val="heading 3"/>
    <w:basedOn w:val="Normal"/>
    <w:next w:val="Normal"/>
    <w:qFormat/>
    <w:rsid w:val="00F3751B"/>
    <w:pPr>
      <w:keepNext/>
      <w:spacing w:before="240"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0563C1" w:themeColor="hyperlink"/>
      <w:u w:val="single"/>
    </w:rPr>
  </w:style>
  <w:style w:type="paragraph" w:styleId="ListParagraph">
    <w:name w:val="List Paragraph"/>
    <w:basedOn w:val="Normal"/>
    <w:uiPriority w:val="34"/>
    <w:rsid w:val="004307CB"/>
    <w:pPr>
      <w:ind w:left="720"/>
      <w:contextualSpacing/>
    </w:pPr>
  </w:style>
  <w:style w:type="paragraph" w:styleId="ListNumber">
    <w:name w:val="List Number"/>
    <w:basedOn w:val="Normal"/>
    <w:rsid w:val="00E64679"/>
    <w:pPr>
      <w:numPr>
        <w:numId w:val="5"/>
      </w:numPr>
      <w:tabs>
        <w:tab w:val="clear" w:pos="2160"/>
        <w:tab w:val="left" w:pos="360"/>
      </w:tabs>
      <w:spacing w:after="220" w:line="220" w:lineRule="atLeast"/>
      <w:ind w:left="360" w:right="720"/>
    </w:pPr>
    <w:rPr>
      <w:rFonts w:ascii="Times New Roman" w:hAnsi="Times New Roman"/>
      <w:szCs w:val="20"/>
    </w:rPr>
  </w:style>
  <w:style w:type="paragraph" w:styleId="ListNumber2">
    <w:name w:val="List Number 2"/>
    <w:basedOn w:val="Normal"/>
    <w:rsid w:val="00E64679"/>
    <w:pPr>
      <w:numPr>
        <w:numId w:val="6"/>
      </w:numPr>
    </w:pPr>
  </w:style>
  <w:style w:type="paragraph" w:customStyle="1" w:styleId="SoKPolicySecondLevelContent">
    <w:name w:val="SoK Policy Second Level Content"/>
    <w:basedOn w:val="Normal"/>
    <w:rsid w:val="002A5510"/>
    <w:pPr>
      <w:ind w:left="864"/>
    </w:pPr>
    <w:rPr>
      <w:rFonts w:ascii="Calibri" w:hAnsi="Calibri"/>
      <w:sz w:val="24"/>
      <w:szCs w:val="20"/>
      <w:lang w:eastAsia="en-CA"/>
    </w:rPr>
  </w:style>
  <w:style w:type="paragraph" w:customStyle="1" w:styleId="SoKPolicyThirdLevelContent">
    <w:name w:val="SoK Policy Third Level Content"/>
    <w:basedOn w:val="SoKPolicySecondLevelContent"/>
    <w:rsid w:val="005D680E"/>
    <w:pPr>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B0A62A40-56CD-4BA4-94CB-3E0A0F69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2015-11-05T19:19:00Z</dcterms:created>
  <dcterms:modified xsi:type="dcterms:W3CDTF">2016-09-28T13:19:00Z</dcterms:modified>
</cp:coreProperties>
</file>