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94FEA" w14:textId="77777777" w:rsidR="00861438" w:rsidRPr="00A04749" w:rsidRDefault="00D3407B" w:rsidP="00C8415D">
      <w:pPr>
        <w:pStyle w:val="Heading1"/>
        <w:rPr>
          <w:sz w:val="36"/>
          <w:szCs w:val="36"/>
        </w:rPr>
      </w:pPr>
      <w:r>
        <w:rPr>
          <w:sz w:val="36"/>
          <w:szCs w:val="36"/>
        </w:rPr>
        <w:t xml:space="preserve">IT Security Risk Strategy </w:t>
      </w:r>
      <w:r w:rsidR="00E64679" w:rsidRPr="00A04749">
        <w:rPr>
          <w:sz w:val="36"/>
          <w:szCs w:val="36"/>
        </w:rPr>
        <w:t xml:space="preserve">Policy </w:t>
      </w:r>
    </w:p>
    <w:p w14:paraId="12D94FEB" w14:textId="77777777" w:rsidR="00E64679" w:rsidRPr="00A04749" w:rsidRDefault="00E64679" w:rsidP="004307CB">
      <w:pPr>
        <w:spacing w:before="60" w:after="60"/>
        <w:rPr>
          <w:rFonts w:cs="Arial"/>
          <w:color w:val="808080" w:themeColor="background1" w:themeShade="80"/>
        </w:rPr>
      </w:pPr>
    </w:p>
    <w:p w14:paraId="12D94FEC" w14:textId="77777777" w:rsidR="00861438" w:rsidRPr="00A04749" w:rsidRDefault="004371F3" w:rsidP="004307CB">
      <w:pPr>
        <w:spacing w:before="60" w:after="60"/>
        <w:rPr>
          <w:rFonts w:cs="Arial"/>
          <w:color w:val="808080" w:themeColor="background1" w:themeShade="80"/>
        </w:rPr>
      </w:pPr>
      <w:r w:rsidRPr="00A04749">
        <w:rPr>
          <w:rFonts w:cs="Arial"/>
          <w:color w:val="808080" w:themeColor="background1" w:themeShade="80"/>
        </w:rPr>
        <w:t>To use this template, simply</w:t>
      </w:r>
      <w:r w:rsidR="004307CB" w:rsidRPr="00A04749">
        <w:rPr>
          <w:rFonts w:cs="Arial"/>
          <w:color w:val="808080" w:themeColor="background1" w:themeShade="80"/>
        </w:rPr>
        <w:t xml:space="preserve"> </w:t>
      </w:r>
      <w:r w:rsidRPr="00A04749">
        <w:rPr>
          <w:rFonts w:cs="Arial"/>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A04749">
        <w:rPr>
          <w:rFonts w:cs="Arial"/>
          <w:color w:val="808080" w:themeColor="background1" w:themeShade="80"/>
        </w:rPr>
        <w:t xml:space="preserve">. </w:t>
      </w:r>
    </w:p>
    <w:p w14:paraId="12D94FED" w14:textId="77777777" w:rsidR="00E64679" w:rsidRPr="00A04749" w:rsidRDefault="00E64679" w:rsidP="00E6467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A04749" w14:paraId="12D94FF0" w14:textId="77777777" w:rsidTr="00E64679">
        <w:trPr>
          <w:trHeight w:val="283"/>
        </w:trPr>
        <w:tc>
          <w:tcPr>
            <w:tcW w:w="2446" w:type="dxa"/>
            <w:shd w:val="clear" w:color="auto" w:fill="DDDECE"/>
            <w:vAlign w:val="center"/>
          </w:tcPr>
          <w:p w14:paraId="12D94FEE" w14:textId="77777777" w:rsidR="00E64679" w:rsidRPr="00A04749" w:rsidRDefault="00E64679" w:rsidP="00E64679">
            <w:pPr>
              <w:jc w:val="center"/>
              <w:rPr>
                <w:rFonts w:cs="Arial"/>
                <w:b/>
              </w:rPr>
            </w:pPr>
            <w:r w:rsidRPr="00A04749">
              <w:rPr>
                <w:rFonts w:cs="Arial"/>
                <w:b/>
              </w:rPr>
              <w:t>Policy Owner</w:t>
            </w:r>
          </w:p>
        </w:tc>
        <w:tc>
          <w:tcPr>
            <w:tcW w:w="7976" w:type="dxa"/>
            <w:shd w:val="clear" w:color="auto" w:fill="auto"/>
            <w:vAlign w:val="center"/>
          </w:tcPr>
          <w:p w14:paraId="12D94FEF" w14:textId="77777777" w:rsidR="00E64679" w:rsidRPr="00A04749" w:rsidRDefault="00E64679" w:rsidP="00E64679">
            <w:pPr>
              <w:rPr>
                <w:rFonts w:cs="Arial"/>
                <w:color w:val="808080"/>
              </w:rPr>
            </w:pPr>
            <w:r w:rsidRPr="00A04749">
              <w:rPr>
                <w:rFonts w:cs="Arial"/>
                <w:color w:val="808080"/>
              </w:rPr>
              <w:t>Name the person/group responsible for this policy’s management.</w:t>
            </w:r>
          </w:p>
        </w:tc>
      </w:tr>
      <w:tr w:rsidR="00E64679" w:rsidRPr="00A04749" w14:paraId="12D94FF3" w14:textId="77777777" w:rsidTr="00E64679">
        <w:trPr>
          <w:trHeight w:val="283"/>
        </w:trPr>
        <w:tc>
          <w:tcPr>
            <w:tcW w:w="2446" w:type="dxa"/>
            <w:shd w:val="clear" w:color="auto" w:fill="DDDECE"/>
            <w:vAlign w:val="center"/>
          </w:tcPr>
          <w:p w14:paraId="12D94FF1" w14:textId="77777777" w:rsidR="00E64679" w:rsidRPr="00A04749" w:rsidRDefault="00E64679" w:rsidP="00E64679">
            <w:pPr>
              <w:jc w:val="center"/>
              <w:rPr>
                <w:rFonts w:cs="Arial"/>
                <w:b/>
              </w:rPr>
            </w:pPr>
            <w:r w:rsidRPr="00A04749">
              <w:rPr>
                <w:rFonts w:cs="Arial"/>
                <w:b/>
              </w:rPr>
              <w:t>Policy Approver(s)</w:t>
            </w:r>
          </w:p>
        </w:tc>
        <w:tc>
          <w:tcPr>
            <w:tcW w:w="7976" w:type="dxa"/>
            <w:shd w:val="clear" w:color="auto" w:fill="auto"/>
            <w:vAlign w:val="center"/>
          </w:tcPr>
          <w:p w14:paraId="12D94FF2" w14:textId="77777777" w:rsidR="00E64679" w:rsidRPr="00A04749" w:rsidRDefault="00E64679" w:rsidP="00E64679">
            <w:pPr>
              <w:rPr>
                <w:rFonts w:cs="Arial"/>
                <w:color w:val="808080"/>
              </w:rPr>
            </w:pPr>
            <w:r w:rsidRPr="00A04749">
              <w:rPr>
                <w:rFonts w:cs="Arial"/>
                <w:color w:val="808080"/>
              </w:rPr>
              <w:t>Name the person/group responsible for implementation approval of this policy.</w:t>
            </w:r>
          </w:p>
        </w:tc>
      </w:tr>
      <w:tr w:rsidR="00E64679" w:rsidRPr="00A04749" w14:paraId="12D94FF6" w14:textId="77777777" w:rsidTr="00E64679">
        <w:trPr>
          <w:trHeight w:val="283"/>
        </w:trPr>
        <w:tc>
          <w:tcPr>
            <w:tcW w:w="2446" w:type="dxa"/>
            <w:shd w:val="clear" w:color="auto" w:fill="DDDECE"/>
            <w:vAlign w:val="center"/>
          </w:tcPr>
          <w:p w14:paraId="12D94FF4" w14:textId="77777777" w:rsidR="00E64679" w:rsidRPr="00A04749" w:rsidRDefault="00E64679" w:rsidP="00E64679">
            <w:pPr>
              <w:jc w:val="center"/>
              <w:rPr>
                <w:rFonts w:cs="Arial"/>
                <w:b/>
              </w:rPr>
            </w:pPr>
            <w:r w:rsidRPr="00A04749">
              <w:rPr>
                <w:rFonts w:cs="Arial"/>
                <w:b/>
              </w:rPr>
              <w:t>Related Policies</w:t>
            </w:r>
          </w:p>
        </w:tc>
        <w:tc>
          <w:tcPr>
            <w:tcW w:w="7976" w:type="dxa"/>
            <w:shd w:val="clear" w:color="auto" w:fill="auto"/>
            <w:vAlign w:val="center"/>
          </w:tcPr>
          <w:p w14:paraId="12D94FF5" w14:textId="77777777" w:rsidR="00E64679" w:rsidRPr="00A04749" w:rsidRDefault="00E64679" w:rsidP="00E64679">
            <w:pPr>
              <w:rPr>
                <w:rFonts w:cs="Arial"/>
                <w:color w:val="808080"/>
              </w:rPr>
            </w:pPr>
            <w:r w:rsidRPr="00A04749">
              <w:rPr>
                <w:rFonts w:cs="Arial"/>
                <w:color w:val="808080"/>
              </w:rPr>
              <w:t>Name other related enterprise policies both within or external to this manual.</w:t>
            </w:r>
          </w:p>
        </w:tc>
      </w:tr>
      <w:tr w:rsidR="00E64679" w:rsidRPr="00A04749" w14:paraId="12D94FF9" w14:textId="77777777" w:rsidTr="00E64679">
        <w:trPr>
          <w:trHeight w:val="283"/>
        </w:trPr>
        <w:tc>
          <w:tcPr>
            <w:tcW w:w="2446" w:type="dxa"/>
            <w:shd w:val="clear" w:color="auto" w:fill="DDDECE"/>
            <w:vAlign w:val="center"/>
          </w:tcPr>
          <w:p w14:paraId="12D94FF7" w14:textId="77777777" w:rsidR="00E64679" w:rsidRPr="00A04749" w:rsidRDefault="00E64679" w:rsidP="00E64679">
            <w:pPr>
              <w:jc w:val="center"/>
              <w:rPr>
                <w:rFonts w:cs="Arial"/>
                <w:b/>
              </w:rPr>
            </w:pPr>
            <w:r w:rsidRPr="00A04749">
              <w:rPr>
                <w:rFonts w:cs="Arial"/>
                <w:b/>
              </w:rPr>
              <w:t>Related Procedures</w:t>
            </w:r>
          </w:p>
        </w:tc>
        <w:tc>
          <w:tcPr>
            <w:tcW w:w="7976" w:type="dxa"/>
            <w:shd w:val="clear" w:color="auto" w:fill="auto"/>
            <w:vAlign w:val="center"/>
          </w:tcPr>
          <w:p w14:paraId="12D94FF8" w14:textId="77777777" w:rsidR="00E64679" w:rsidRPr="00A04749" w:rsidRDefault="00E64679" w:rsidP="00E64679">
            <w:pPr>
              <w:rPr>
                <w:rFonts w:cs="Arial"/>
                <w:color w:val="808080"/>
              </w:rPr>
            </w:pPr>
            <w:r w:rsidRPr="00A04749">
              <w:rPr>
                <w:rFonts w:cs="Arial"/>
                <w:color w:val="808080"/>
              </w:rPr>
              <w:t>Name other related enterprise procedures both within or external to this manual.</w:t>
            </w:r>
          </w:p>
        </w:tc>
      </w:tr>
      <w:tr w:rsidR="00E64679" w:rsidRPr="00A04749" w14:paraId="12D94FFC" w14:textId="77777777" w:rsidTr="00E64679">
        <w:trPr>
          <w:trHeight w:val="283"/>
        </w:trPr>
        <w:tc>
          <w:tcPr>
            <w:tcW w:w="2446" w:type="dxa"/>
            <w:shd w:val="clear" w:color="auto" w:fill="DDDECE"/>
            <w:vAlign w:val="center"/>
          </w:tcPr>
          <w:p w14:paraId="12D94FFA" w14:textId="77777777" w:rsidR="00E64679" w:rsidRPr="00A04749" w:rsidRDefault="00E64679" w:rsidP="00E64679">
            <w:pPr>
              <w:jc w:val="center"/>
              <w:rPr>
                <w:rFonts w:cs="Arial"/>
                <w:b/>
              </w:rPr>
            </w:pPr>
            <w:r w:rsidRPr="00A04749">
              <w:rPr>
                <w:rFonts w:cs="Arial"/>
                <w:b/>
              </w:rPr>
              <w:t>Storage Location</w:t>
            </w:r>
          </w:p>
        </w:tc>
        <w:tc>
          <w:tcPr>
            <w:tcW w:w="7976" w:type="dxa"/>
            <w:shd w:val="clear" w:color="auto" w:fill="auto"/>
            <w:vAlign w:val="center"/>
          </w:tcPr>
          <w:p w14:paraId="12D94FFB" w14:textId="77777777" w:rsidR="00E64679" w:rsidRPr="00A04749" w:rsidRDefault="00E64679" w:rsidP="00E64679">
            <w:pPr>
              <w:rPr>
                <w:rFonts w:cs="Arial"/>
                <w:color w:val="808080"/>
              </w:rPr>
            </w:pPr>
            <w:r w:rsidRPr="00A04749">
              <w:rPr>
                <w:rFonts w:cs="Arial"/>
                <w:color w:val="808080"/>
              </w:rPr>
              <w:t>Describe physical or digital location of copies of this policy.</w:t>
            </w:r>
          </w:p>
        </w:tc>
      </w:tr>
      <w:tr w:rsidR="00E64679" w:rsidRPr="00A04749" w14:paraId="12D94FFF" w14:textId="77777777" w:rsidTr="00E64679">
        <w:trPr>
          <w:trHeight w:val="283"/>
        </w:trPr>
        <w:tc>
          <w:tcPr>
            <w:tcW w:w="2446" w:type="dxa"/>
            <w:shd w:val="clear" w:color="auto" w:fill="DDDECE"/>
            <w:vAlign w:val="center"/>
          </w:tcPr>
          <w:p w14:paraId="12D94FFD" w14:textId="77777777" w:rsidR="00E64679" w:rsidRPr="00A04749" w:rsidRDefault="00E64679" w:rsidP="00E64679">
            <w:pPr>
              <w:jc w:val="center"/>
              <w:rPr>
                <w:rFonts w:cs="Arial"/>
                <w:b/>
              </w:rPr>
            </w:pPr>
            <w:r w:rsidRPr="00A04749">
              <w:rPr>
                <w:rFonts w:cs="Arial"/>
                <w:b/>
              </w:rPr>
              <w:t>Effective Date</w:t>
            </w:r>
          </w:p>
        </w:tc>
        <w:tc>
          <w:tcPr>
            <w:tcW w:w="7976" w:type="dxa"/>
            <w:shd w:val="clear" w:color="auto" w:fill="auto"/>
            <w:vAlign w:val="center"/>
          </w:tcPr>
          <w:p w14:paraId="12D94FFE" w14:textId="77777777" w:rsidR="00E64679" w:rsidRPr="00A04749" w:rsidRDefault="00E64679" w:rsidP="00E64679">
            <w:pPr>
              <w:rPr>
                <w:rFonts w:cs="Arial"/>
                <w:color w:val="808080"/>
              </w:rPr>
            </w:pPr>
            <w:r w:rsidRPr="00A04749">
              <w:rPr>
                <w:rFonts w:cs="Arial"/>
                <w:color w:val="808080"/>
              </w:rPr>
              <w:t>List the date that this policy went into effect.</w:t>
            </w:r>
          </w:p>
        </w:tc>
      </w:tr>
      <w:tr w:rsidR="00E64679" w:rsidRPr="00A04749" w14:paraId="12D95002" w14:textId="77777777" w:rsidTr="00E64679">
        <w:trPr>
          <w:trHeight w:val="283"/>
        </w:trPr>
        <w:tc>
          <w:tcPr>
            <w:tcW w:w="2446" w:type="dxa"/>
            <w:shd w:val="clear" w:color="auto" w:fill="DDDECE"/>
            <w:vAlign w:val="center"/>
          </w:tcPr>
          <w:p w14:paraId="12D95000" w14:textId="77777777" w:rsidR="00E64679" w:rsidRPr="00A04749" w:rsidRDefault="00E64679" w:rsidP="00E64679">
            <w:pPr>
              <w:jc w:val="center"/>
              <w:rPr>
                <w:rFonts w:cs="Arial"/>
                <w:b/>
              </w:rPr>
            </w:pPr>
            <w:r w:rsidRPr="00A04749">
              <w:rPr>
                <w:rFonts w:cs="Arial"/>
                <w:b/>
              </w:rPr>
              <w:t>Next Review Date</w:t>
            </w:r>
          </w:p>
        </w:tc>
        <w:tc>
          <w:tcPr>
            <w:tcW w:w="7976" w:type="dxa"/>
            <w:shd w:val="clear" w:color="auto" w:fill="auto"/>
            <w:vAlign w:val="center"/>
          </w:tcPr>
          <w:p w14:paraId="12D95001" w14:textId="77777777" w:rsidR="00E64679" w:rsidRPr="00A04749" w:rsidRDefault="00E64679" w:rsidP="00E64679">
            <w:pPr>
              <w:rPr>
                <w:rFonts w:cs="Arial"/>
                <w:color w:val="808080"/>
              </w:rPr>
            </w:pPr>
            <w:r w:rsidRPr="00A04749">
              <w:rPr>
                <w:rFonts w:cs="Arial"/>
                <w:color w:val="808080"/>
              </w:rPr>
              <w:t>List the date that this policy must undergo review and update.</w:t>
            </w:r>
          </w:p>
        </w:tc>
      </w:tr>
    </w:tbl>
    <w:p w14:paraId="12D95003" w14:textId="77777777" w:rsidR="00E64679" w:rsidRPr="00A04749" w:rsidRDefault="00E64679" w:rsidP="004307CB">
      <w:pPr>
        <w:spacing w:before="60" w:after="60"/>
        <w:rPr>
          <w:rFonts w:cs="Arial"/>
          <w:color w:val="808080" w:themeColor="background1" w:themeShade="80"/>
        </w:rPr>
      </w:pPr>
    </w:p>
    <w:p w14:paraId="12D95004" w14:textId="77777777" w:rsidR="008B4684" w:rsidRPr="00A04749" w:rsidRDefault="00E64679" w:rsidP="008B4684">
      <w:pPr>
        <w:pStyle w:val="Heading1"/>
      </w:pPr>
      <w:r w:rsidRPr="00A04749">
        <w:t>Purpose</w:t>
      </w:r>
    </w:p>
    <w:p w14:paraId="12D95006" w14:textId="7CA9B7FD" w:rsidR="00E64679" w:rsidRPr="00A04749" w:rsidRDefault="00E64679" w:rsidP="00E64679">
      <w:pPr>
        <w:rPr>
          <w:rFonts w:cs="Arial"/>
          <w:color w:val="808080"/>
        </w:rPr>
      </w:pPr>
      <w:r w:rsidRPr="00A04749">
        <w:rPr>
          <w:rFonts w:cs="Arial"/>
          <w:color w:val="808080"/>
        </w:rPr>
        <w:t xml:space="preserve">Describe the factors or circumstances that mandate the existence of the policy. Also state the policy’s basic objectives and what the policy is meant to achieve. </w:t>
      </w:r>
    </w:p>
    <w:p w14:paraId="12D95007" w14:textId="77777777" w:rsidR="00D3407B" w:rsidRPr="00DC15E0" w:rsidRDefault="00D3407B" w:rsidP="00D3407B">
      <w:pPr>
        <w:rPr>
          <w:rFonts w:cs="Arial"/>
          <w:color w:val="808080"/>
        </w:rPr>
      </w:pPr>
    </w:p>
    <w:p w14:paraId="12D95009" w14:textId="160471EE" w:rsidR="00E64679" w:rsidRPr="00A04749" w:rsidRDefault="00D3407B" w:rsidP="00E64679">
      <w:pPr>
        <w:rPr>
          <w:rFonts w:cs="Arial"/>
        </w:rPr>
      </w:pPr>
      <w:r w:rsidRPr="00DC15E0">
        <w:rPr>
          <w:rFonts w:cs="Arial"/>
        </w:rPr>
        <w:t>The purpose of this policy is to ensure adequate processes and controls are in place to mitigate risks and measure progress related to security performance.</w:t>
      </w:r>
    </w:p>
    <w:p w14:paraId="12D9500A" w14:textId="77777777" w:rsidR="00E64679" w:rsidRPr="00A04749" w:rsidRDefault="00E64679" w:rsidP="00E64679">
      <w:pPr>
        <w:pStyle w:val="Heading1"/>
      </w:pPr>
      <w:r w:rsidRPr="00A04749">
        <w:t>Scope</w:t>
      </w:r>
    </w:p>
    <w:p w14:paraId="12D9500B" w14:textId="089FD4B1" w:rsidR="00E64679" w:rsidRPr="00A04749" w:rsidRDefault="00E64679" w:rsidP="00E64679">
      <w:pPr>
        <w:rPr>
          <w:rFonts w:cs="Arial"/>
          <w:color w:val="808080"/>
          <w:szCs w:val="20"/>
        </w:rPr>
      </w:pPr>
      <w:r w:rsidRPr="00A04749">
        <w:rPr>
          <w:rFonts w:cs="Arial"/>
          <w:color w:val="808080"/>
          <w:szCs w:val="20"/>
        </w:rPr>
        <w:t>Define to whom and to what systems this policy applies. List the employees required to comply, or simply indicate “all” if all must comply. Also indicate any exclusions or exceptions</w:t>
      </w:r>
      <w:r w:rsidR="00F70022">
        <w:rPr>
          <w:rFonts w:cs="Arial"/>
          <w:color w:val="808080"/>
          <w:szCs w:val="20"/>
        </w:rPr>
        <w:t>,</w:t>
      </w:r>
      <w:r w:rsidRPr="00A04749">
        <w:rPr>
          <w:rFonts w:cs="Arial"/>
          <w:color w:val="808080"/>
          <w:szCs w:val="20"/>
        </w:rPr>
        <w:t xml:space="preserve"> i.e. those people, elements</w:t>
      </w:r>
      <w:r w:rsidR="00F70022">
        <w:rPr>
          <w:rFonts w:cs="Arial"/>
          <w:color w:val="808080"/>
          <w:szCs w:val="20"/>
        </w:rPr>
        <w:t>,</w:t>
      </w:r>
      <w:r w:rsidRPr="00A04749">
        <w:rPr>
          <w:rFonts w:cs="Arial"/>
          <w:color w:val="808080"/>
          <w:szCs w:val="20"/>
        </w:rPr>
        <w:t xml:space="preserve"> or situations that are not covered by this policy or where special consideration may be made.</w:t>
      </w:r>
    </w:p>
    <w:p w14:paraId="12D9500C" w14:textId="77777777" w:rsidR="00B502A4" w:rsidRDefault="00B502A4" w:rsidP="00E64679">
      <w:pPr>
        <w:rPr>
          <w:rFonts w:cs="Arial"/>
          <w:color w:val="000000" w:themeColor="text1"/>
        </w:rPr>
      </w:pPr>
    </w:p>
    <w:p w14:paraId="12D9500D" w14:textId="77777777" w:rsidR="00D3407B" w:rsidRPr="00DC15E0" w:rsidRDefault="00D3407B" w:rsidP="00D3407B">
      <w:pPr>
        <w:rPr>
          <w:rFonts w:cs="Arial"/>
        </w:rPr>
      </w:pPr>
      <w:r w:rsidRPr="00DC15E0">
        <w:rPr>
          <w:rFonts w:cs="Arial"/>
        </w:rPr>
        <w:t xml:space="preserve">This IT Security Risk Strategy Policy applies to all business processes and data, information systems and components, personnel, and physical areas of </w:t>
      </w:r>
      <w:r w:rsidRPr="00DC15E0">
        <w:rPr>
          <w:rFonts w:cs="Arial"/>
          <w:color w:val="808080" w:themeColor="background1" w:themeShade="80"/>
        </w:rPr>
        <w:t>[Insert Company’s Name]</w:t>
      </w:r>
      <w:r w:rsidRPr="00DC15E0">
        <w:rPr>
          <w:rFonts w:cs="Arial"/>
        </w:rPr>
        <w:t>.</w:t>
      </w:r>
    </w:p>
    <w:p w14:paraId="12D9500E" w14:textId="77777777" w:rsidR="00D3407B" w:rsidRPr="00A04749" w:rsidRDefault="00D3407B" w:rsidP="00E64679">
      <w:pPr>
        <w:rPr>
          <w:rFonts w:cs="Arial"/>
          <w:color w:val="000000" w:themeColor="text1"/>
        </w:rPr>
      </w:pPr>
    </w:p>
    <w:p w14:paraId="12D9500F" w14:textId="77777777" w:rsidR="00B502A4" w:rsidRPr="00A04749" w:rsidRDefault="00B502A4" w:rsidP="00B502A4">
      <w:pPr>
        <w:pStyle w:val="Heading1"/>
      </w:pPr>
      <w:r w:rsidRPr="00A04749">
        <w:t>Definitions</w:t>
      </w:r>
    </w:p>
    <w:p w14:paraId="12D95010" w14:textId="76AF439E" w:rsidR="00B502A4" w:rsidRPr="00A04749" w:rsidRDefault="00B502A4" w:rsidP="00B502A4">
      <w:pPr>
        <w:rPr>
          <w:rFonts w:cs="Arial"/>
          <w:color w:val="808080"/>
        </w:rPr>
      </w:pPr>
      <w:r w:rsidRPr="00A04749">
        <w:rPr>
          <w:rFonts w:cs="Arial"/>
          <w:color w:val="808080"/>
        </w:rPr>
        <w:t>Define any key terms, acronyms</w:t>
      </w:r>
      <w:r w:rsidR="00F70022">
        <w:rPr>
          <w:rFonts w:cs="Arial"/>
          <w:color w:val="808080"/>
        </w:rPr>
        <w:t>,</w:t>
      </w:r>
      <w:r w:rsidRPr="00A04749">
        <w:rPr>
          <w:rFonts w:cs="Arial"/>
          <w:color w:val="808080"/>
        </w:rPr>
        <w:t xml:space="preserve"> or concepts that will be used in the policy. A standard glossary approach is sufficient.</w:t>
      </w:r>
    </w:p>
    <w:p w14:paraId="12D95011" w14:textId="77777777" w:rsidR="00B502A4" w:rsidRPr="00A04749" w:rsidRDefault="00B502A4" w:rsidP="00B502A4">
      <w:pPr>
        <w:rPr>
          <w:rFonts w:cs="Arial"/>
          <w:color w:val="808080"/>
        </w:rPr>
      </w:pPr>
    </w:p>
    <w:p w14:paraId="12D95012" w14:textId="50A26E18" w:rsidR="00B502A4" w:rsidRPr="00A04749" w:rsidRDefault="00F70022" w:rsidP="00B502A4">
      <w:pPr>
        <w:pStyle w:val="Heading1"/>
      </w:pPr>
      <w:r>
        <w:t xml:space="preserve">Governing Laws, </w:t>
      </w:r>
      <w:r w:rsidR="00B502A4" w:rsidRPr="00A04749">
        <w:t>Regulations</w:t>
      </w:r>
      <w:r>
        <w:t>, and</w:t>
      </w:r>
      <w:r w:rsidR="007008E2">
        <w:t xml:space="preserve"> Standards</w:t>
      </w:r>
      <w:r w:rsidR="00D3407B">
        <w:t xml:space="preserve"> </w:t>
      </w:r>
    </w:p>
    <w:p w14:paraId="12D95013" w14:textId="77777777" w:rsidR="00B502A4" w:rsidRPr="00A04749" w:rsidRDefault="00B502A4" w:rsidP="00B502A4">
      <w:pPr>
        <w:rPr>
          <w:rFonts w:cs="Arial"/>
          <w:color w:val="808080"/>
        </w:rPr>
      </w:pPr>
      <w:r w:rsidRPr="00A04749">
        <w:rPr>
          <w:rFonts w:cs="Arial"/>
          <w:color w:val="808080"/>
        </w:rPr>
        <w:t xml:space="preserve">If applicable, list any laws or regulations that govern the policy or with which the policy must comply. Confirm with the legal department that the list is full and accurate. If there are no pertinent governing laws or regulations, delete this section. </w:t>
      </w:r>
    </w:p>
    <w:p w14:paraId="12D95014" w14:textId="77777777" w:rsidR="00B502A4" w:rsidRPr="00A04749" w:rsidRDefault="00B502A4" w:rsidP="00B502A4">
      <w:pPr>
        <w:rPr>
          <w:rFonts w:cs="Arial"/>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6680"/>
      </w:tblGrid>
      <w:tr w:rsidR="00D3407B" w:rsidRPr="00DC15E0" w14:paraId="12D95017" w14:textId="77777777" w:rsidTr="00AC5601">
        <w:tc>
          <w:tcPr>
            <w:tcW w:w="3474" w:type="dxa"/>
            <w:shd w:val="clear" w:color="auto" w:fill="DDDECE"/>
            <w:vAlign w:val="center"/>
          </w:tcPr>
          <w:p w14:paraId="12D95015" w14:textId="77777777" w:rsidR="00D3407B" w:rsidRPr="00DC15E0" w:rsidRDefault="00D3407B" w:rsidP="00AC5601">
            <w:pPr>
              <w:rPr>
                <w:rFonts w:cs="Arial"/>
                <w:b/>
              </w:rPr>
            </w:pPr>
            <w:r w:rsidRPr="00DC15E0">
              <w:rPr>
                <w:rFonts w:cs="Arial"/>
                <w:b/>
              </w:rPr>
              <w:t>Guidance</w:t>
            </w:r>
          </w:p>
        </w:tc>
        <w:tc>
          <w:tcPr>
            <w:tcW w:w="6894" w:type="dxa"/>
            <w:shd w:val="clear" w:color="auto" w:fill="DDDECE"/>
            <w:vAlign w:val="center"/>
          </w:tcPr>
          <w:p w14:paraId="12D95016" w14:textId="77777777" w:rsidR="00D3407B" w:rsidRPr="00DC15E0" w:rsidRDefault="00D3407B" w:rsidP="00AC5601">
            <w:pPr>
              <w:rPr>
                <w:rFonts w:cs="Arial"/>
                <w:b/>
              </w:rPr>
            </w:pPr>
            <w:r w:rsidRPr="00DC15E0">
              <w:rPr>
                <w:rFonts w:cs="Arial"/>
                <w:b/>
              </w:rPr>
              <w:t>Section</w:t>
            </w:r>
          </w:p>
        </w:tc>
      </w:tr>
      <w:tr w:rsidR="00D3407B" w:rsidRPr="00DC15E0" w14:paraId="12D9501A" w14:textId="77777777" w:rsidTr="00AC5601">
        <w:tc>
          <w:tcPr>
            <w:tcW w:w="3474" w:type="dxa"/>
          </w:tcPr>
          <w:p w14:paraId="12D95018" w14:textId="77777777" w:rsidR="00D3407B" w:rsidRPr="00DC15E0" w:rsidRDefault="00D3407B" w:rsidP="00AC5601">
            <w:pPr>
              <w:rPr>
                <w:rFonts w:cs="Arial"/>
              </w:rPr>
            </w:pPr>
            <w:r w:rsidRPr="00DC15E0">
              <w:rPr>
                <w:rFonts w:cs="Arial"/>
              </w:rPr>
              <w:t>NIST SP 800-30</w:t>
            </w:r>
          </w:p>
        </w:tc>
        <w:tc>
          <w:tcPr>
            <w:tcW w:w="6894" w:type="dxa"/>
          </w:tcPr>
          <w:p w14:paraId="12D95019" w14:textId="77777777" w:rsidR="00D3407B" w:rsidRPr="00DC15E0" w:rsidRDefault="00D3407B" w:rsidP="00AC5601">
            <w:pPr>
              <w:rPr>
                <w:rFonts w:cs="Arial"/>
              </w:rPr>
            </w:pPr>
            <w:r w:rsidRPr="00DC15E0">
              <w:rPr>
                <w:rFonts w:cs="Arial"/>
              </w:rPr>
              <w:t>Risk Assessment (3.1 – 3.9), Mitigation (4.1 – 4.6)</w:t>
            </w:r>
          </w:p>
        </w:tc>
      </w:tr>
      <w:tr w:rsidR="00D3407B" w:rsidRPr="00DC15E0" w14:paraId="12D9501D" w14:textId="77777777" w:rsidTr="00AC5601">
        <w:tc>
          <w:tcPr>
            <w:tcW w:w="3474" w:type="dxa"/>
          </w:tcPr>
          <w:p w14:paraId="12D9501B" w14:textId="77777777" w:rsidR="00D3407B" w:rsidRPr="00DC15E0" w:rsidRDefault="00D3407B" w:rsidP="00AC5601">
            <w:pPr>
              <w:rPr>
                <w:rFonts w:cs="Arial"/>
              </w:rPr>
            </w:pPr>
            <w:r w:rsidRPr="00DC15E0">
              <w:rPr>
                <w:rFonts w:cs="Arial"/>
              </w:rPr>
              <w:t>NIST SP 800-53 v4</w:t>
            </w:r>
          </w:p>
        </w:tc>
        <w:tc>
          <w:tcPr>
            <w:tcW w:w="6894" w:type="dxa"/>
          </w:tcPr>
          <w:p w14:paraId="12D9501C" w14:textId="77777777" w:rsidR="00D3407B" w:rsidRPr="00DC15E0" w:rsidRDefault="00D3407B" w:rsidP="00AC5601">
            <w:pPr>
              <w:rPr>
                <w:rFonts w:cs="Arial"/>
              </w:rPr>
            </w:pPr>
            <w:r w:rsidRPr="00DC15E0">
              <w:rPr>
                <w:rFonts w:cs="Arial"/>
              </w:rPr>
              <w:t>PM-9, CP-2, RA-3</w:t>
            </w:r>
          </w:p>
        </w:tc>
      </w:tr>
    </w:tbl>
    <w:p w14:paraId="12D9501E" w14:textId="77777777" w:rsidR="00E64679" w:rsidRPr="00A04749" w:rsidRDefault="00E64679" w:rsidP="00E64679">
      <w:pPr>
        <w:rPr>
          <w:rFonts w:cs="Arial"/>
        </w:rPr>
      </w:pPr>
    </w:p>
    <w:p w14:paraId="12D9501F" w14:textId="77777777" w:rsidR="00B502A4" w:rsidRPr="00A04749" w:rsidRDefault="00B502A4" w:rsidP="00B502A4">
      <w:pPr>
        <w:pStyle w:val="Heading1"/>
      </w:pPr>
      <w:r w:rsidRPr="00A04749">
        <w:t>Policy Statements</w:t>
      </w:r>
    </w:p>
    <w:p w14:paraId="12D95020" w14:textId="77777777" w:rsidR="00B502A4" w:rsidRPr="00A04749" w:rsidRDefault="00B502A4" w:rsidP="00B502A4">
      <w:pPr>
        <w:rPr>
          <w:rFonts w:cs="Arial"/>
          <w:color w:val="808080"/>
          <w:szCs w:val="20"/>
        </w:rPr>
      </w:pPr>
      <w:r w:rsidRPr="00A04749">
        <w:rPr>
          <w:rFonts w:cs="Arial"/>
          <w:color w:val="808080"/>
          <w:szCs w:val="20"/>
        </w:rPr>
        <w:t>Describe the rules that comprise the policy. This typically takes the form of a series of short prescriptive and proscriptive statements. Sub-dividing this section into sub-sections may be required depending on the length or complexity of the policy.</w:t>
      </w:r>
    </w:p>
    <w:p w14:paraId="12D95021" w14:textId="77777777" w:rsidR="00A04749" w:rsidRPr="00A04749" w:rsidRDefault="00A04749" w:rsidP="00A04749">
      <w:pPr>
        <w:ind w:left="173"/>
        <w:rPr>
          <w:rFonts w:cs="Arial"/>
          <w:sz w:val="24"/>
        </w:rPr>
      </w:pPr>
    </w:p>
    <w:p w14:paraId="12D95022" w14:textId="77777777" w:rsidR="00D3407B" w:rsidRPr="00DC15E0" w:rsidRDefault="00D3407B" w:rsidP="00D3407B">
      <w:pPr>
        <w:rPr>
          <w:rFonts w:cs="Arial"/>
          <w:b/>
          <w:szCs w:val="20"/>
        </w:rPr>
      </w:pPr>
      <w:r w:rsidRPr="00DC15E0">
        <w:rPr>
          <w:rFonts w:cs="Arial"/>
          <w:b/>
          <w:szCs w:val="20"/>
        </w:rPr>
        <w:t>Risk Assessment and Mitigation:</w:t>
      </w:r>
    </w:p>
    <w:p w14:paraId="12D95023" w14:textId="77777777" w:rsidR="00D3407B" w:rsidRPr="00DC15E0" w:rsidRDefault="00D3407B" w:rsidP="00D3407B">
      <w:pPr>
        <w:pStyle w:val="SoKPolicyThirdLevelContent"/>
        <w:numPr>
          <w:ilvl w:val="0"/>
          <w:numId w:val="11"/>
        </w:numPr>
        <w:spacing w:after="120"/>
        <w:rPr>
          <w:rFonts w:ascii="Arial" w:hAnsi="Arial" w:cs="Arial"/>
          <w:sz w:val="20"/>
        </w:rPr>
      </w:pPr>
      <w:r w:rsidRPr="00DC15E0">
        <w:rPr>
          <w:rFonts w:ascii="Arial" w:hAnsi="Arial" w:cs="Arial"/>
          <w:sz w:val="20"/>
        </w:rPr>
        <w:t xml:space="preserve">Security risk tolerance level should be defined, documented, and communicated across </w:t>
      </w:r>
      <w:r w:rsidRPr="00DC15E0">
        <w:rPr>
          <w:rFonts w:ascii="Arial" w:hAnsi="Arial" w:cs="Arial"/>
          <w:color w:val="A6A6A6" w:themeColor="background1" w:themeShade="A6"/>
          <w:sz w:val="20"/>
        </w:rPr>
        <w:t>[Insert Company’s Name]</w:t>
      </w:r>
      <w:r w:rsidRPr="00DC15E0">
        <w:rPr>
          <w:rFonts w:ascii="Arial" w:hAnsi="Arial" w:cs="Arial"/>
          <w:sz w:val="20"/>
        </w:rPr>
        <w:t>.</w:t>
      </w:r>
    </w:p>
    <w:p w14:paraId="12D95024" w14:textId="77777777" w:rsidR="00D3407B" w:rsidRPr="00DC15E0" w:rsidRDefault="00D3407B" w:rsidP="00D3407B">
      <w:pPr>
        <w:pStyle w:val="SoKPolicyThirdLevelContent"/>
        <w:numPr>
          <w:ilvl w:val="0"/>
          <w:numId w:val="11"/>
        </w:numPr>
        <w:spacing w:after="120"/>
        <w:rPr>
          <w:rFonts w:ascii="Arial" w:hAnsi="Arial" w:cs="Arial"/>
          <w:sz w:val="20"/>
        </w:rPr>
      </w:pPr>
      <w:r w:rsidRPr="00DC15E0">
        <w:rPr>
          <w:rFonts w:ascii="Arial" w:hAnsi="Arial" w:cs="Arial"/>
          <w:sz w:val="20"/>
        </w:rPr>
        <w:t>Security risk assessment criteria should be defined in order to produce consistent assessment results.</w:t>
      </w:r>
    </w:p>
    <w:p w14:paraId="12D95025" w14:textId="77777777" w:rsidR="00D3407B" w:rsidRPr="00DC15E0" w:rsidRDefault="00D3407B" w:rsidP="00D3407B">
      <w:pPr>
        <w:pStyle w:val="SoKPolicyThirdLevelContent"/>
        <w:numPr>
          <w:ilvl w:val="0"/>
          <w:numId w:val="11"/>
        </w:numPr>
        <w:spacing w:after="120"/>
        <w:rPr>
          <w:rFonts w:ascii="Arial" w:hAnsi="Arial" w:cs="Arial"/>
          <w:sz w:val="20"/>
        </w:rPr>
      </w:pPr>
      <w:r w:rsidRPr="00DC15E0">
        <w:rPr>
          <w:rFonts w:ascii="Arial" w:hAnsi="Arial" w:cs="Arial"/>
          <w:sz w:val="20"/>
        </w:rPr>
        <w:t xml:space="preserve">Risk assessments will be performed on all information systems that house or access </w:t>
      </w:r>
      <w:r w:rsidRPr="00DC15E0">
        <w:rPr>
          <w:rFonts w:ascii="Arial" w:hAnsi="Arial" w:cs="Arial"/>
          <w:color w:val="808080"/>
          <w:sz w:val="20"/>
        </w:rPr>
        <w:t>[Insert Company’s Name]</w:t>
      </w:r>
      <w:r w:rsidRPr="00DC15E0">
        <w:rPr>
          <w:rFonts w:ascii="Arial" w:hAnsi="Arial" w:cs="Arial"/>
          <w:sz w:val="20"/>
        </w:rPr>
        <w:t xml:space="preserve"> controlled information. These assessments will address unauthorized access, use, disclosure, disruption, modification, and/or destruction of information or the information system itself. Further, the assessments shall identify known potential threats, the likelihood of their occurrence, and the magnitude of the impact of those threats should they occur.</w:t>
      </w:r>
    </w:p>
    <w:p w14:paraId="12D95026" w14:textId="77777777" w:rsidR="00D3407B" w:rsidRPr="00DC15E0" w:rsidRDefault="00D3407B" w:rsidP="00D3407B">
      <w:pPr>
        <w:pStyle w:val="SoKPolicyThirdLevelContent"/>
        <w:numPr>
          <w:ilvl w:val="0"/>
          <w:numId w:val="11"/>
        </w:numPr>
        <w:spacing w:after="120"/>
        <w:rPr>
          <w:rFonts w:ascii="Arial" w:hAnsi="Arial" w:cs="Arial"/>
          <w:sz w:val="20"/>
        </w:rPr>
      </w:pPr>
      <w:r w:rsidRPr="00DC15E0">
        <w:rPr>
          <w:rFonts w:ascii="Arial" w:hAnsi="Arial" w:cs="Arial"/>
          <w:sz w:val="20"/>
        </w:rPr>
        <w:t xml:space="preserve">Risk assessments shall be performed upon initial acquisition of an information system (in the event that the information system is owned/operated by </w:t>
      </w:r>
      <w:r w:rsidRPr="00DC15E0">
        <w:rPr>
          <w:rFonts w:ascii="Arial" w:hAnsi="Arial" w:cs="Arial"/>
          <w:color w:val="808080"/>
          <w:sz w:val="20"/>
        </w:rPr>
        <w:t>[Insert Company’s Name]</w:t>
      </w:r>
      <w:r w:rsidRPr="00DC15E0">
        <w:rPr>
          <w:rFonts w:ascii="Arial" w:hAnsi="Arial" w:cs="Arial"/>
          <w:sz w:val="20"/>
        </w:rPr>
        <w:t xml:space="preserve">) or prior to initial establishment of service agreements (in the event that the information system is owned/operated by a third party on behalf of </w:t>
      </w:r>
      <w:r w:rsidRPr="00DC15E0">
        <w:rPr>
          <w:rFonts w:ascii="Arial" w:hAnsi="Arial" w:cs="Arial"/>
          <w:color w:val="808080"/>
          <w:sz w:val="20"/>
        </w:rPr>
        <w:t>[Insert Company’s Name]</w:t>
      </w:r>
      <w:r w:rsidRPr="00DC15E0">
        <w:rPr>
          <w:rFonts w:ascii="Arial" w:hAnsi="Arial" w:cs="Arial"/>
          <w:sz w:val="20"/>
        </w:rPr>
        <w:t xml:space="preserve">). Further, the risk assessment shall be reviewed and, where required, updated after </w:t>
      </w:r>
      <w:r w:rsidRPr="00DC15E0">
        <w:rPr>
          <w:rFonts w:ascii="Arial" w:hAnsi="Arial" w:cs="Arial"/>
          <w:i/>
          <w:color w:val="808080"/>
          <w:sz w:val="20"/>
        </w:rPr>
        <w:t>[indicate interval – suggest three years]</w:t>
      </w:r>
      <w:r w:rsidRPr="00DC15E0">
        <w:rPr>
          <w:rFonts w:ascii="Arial" w:hAnsi="Arial" w:cs="Arial"/>
          <w:sz w:val="20"/>
        </w:rPr>
        <w:t xml:space="preserve"> or whenever a significant change is made to the information system, whichever comes first.</w:t>
      </w:r>
    </w:p>
    <w:p w14:paraId="12D95027" w14:textId="77777777" w:rsidR="00D3407B" w:rsidRPr="00DC15E0" w:rsidRDefault="00D3407B" w:rsidP="00D3407B">
      <w:pPr>
        <w:pStyle w:val="SoKPolicyThirdLevelContent"/>
        <w:numPr>
          <w:ilvl w:val="0"/>
          <w:numId w:val="11"/>
        </w:numPr>
        <w:spacing w:after="120"/>
        <w:rPr>
          <w:rFonts w:ascii="Arial" w:hAnsi="Arial" w:cs="Arial"/>
          <w:sz w:val="20"/>
        </w:rPr>
      </w:pPr>
      <w:r w:rsidRPr="00DC15E0">
        <w:rPr>
          <w:rFonts w:ascii="Arial" w:hAnsi="Arial" w:cs="Arial"/>
          <w:sz w:val="20"/>
        </w:rPr>
        <w:t xml:space="preserve">Results of risk assessments will be disseminated to appropriate parties. </w:t>
      </w:r>
    </w:p>
    <w:p w14:paraId="12D95028" w14:textId="77777777" w:rsidR="00D3407B" w:rsidRPr="00DC15E0" w:rsidRDefault="00D3407B" w:rsidP="00D3407B">
      <w:pPr>
        <w:pStyle w:val="SoKPolicyThirdLevelContent"/>
        <w:spacing w:after="120"/>
        <w:ind w:left="0"/>
        <w:rPr>
          <w:rFonts w:ascii="Arial" w:hAnsi="Arial" w:cs="Arial"/>
          <w:b/>
          <w:sz w:val="20"/>
        </w:rPr>
      </w:pPr>
      <w:r w:rsidRPr="00DC15E0">
        <w:rPr>
          <w:rFonts w:ascii="Arial" w:hAnsi="Arial" w:cs="Arial"/>
          <w:b/>
          <w:sz w:val="20"/>
        </w:rPr>
        <w:t xml:space="preserve">Third-Party Risk Management: </w:t>
      </w:r>
    </w:p>
    <w:p w14:paraId="12D95029" w14:textId="77777777" w:rsidR="00D3407B" w:rsidRPr="00DC15E0" w:rsidRDefault="00D3407B" w:rsidP="00D3407B">
      <w:pPr>
        <w:pStyle w:val="SoKPolicyThirdLevelContent"/>
        <w:numPr>
          <w:ilvl w:val="1"/>
          <w:numId w:val="10"/>
        </w:numPr>
        <w:spacing w:after="120"/>
        <w:rPr>
          <w:rFonts w:ascii="Arial" w:hAnsi="Arial" w:cs="Arial"/>
          <w:sz w:val="20"/>
        </w:rPr>
      </w:pPr>
      <w:r w:rsidRPr="00DC15E0">
        <w:rPr>
          <w:rFonts w:ascii="Arial" w:hAnsi="Arial" w:cs="Arial"/>
          <w:sz w:val="20"/>
        </w:rPr>
        <w:t xml:space="preserve">Prior to choosing a third party, a proper risk assessment must be conducted on the third party to ensure reputation, security practices, etc. are clearly made evident and work within </w:t>
      </w:r>
      <w:r w:rsidRPr="00DC15E0">
        <w:rPr>
          <w:rFonts w:ascii="Arial" w:hAnsi="Arial" w:cs="Arial"/>
          <w:color w:val="A6A6A6" w:themeColor="background1" w:themeShade="A6"/>
          <w:sz w:val="20"/>
        </w:rPr>
        <w:t>[Insert Company’s Name]</w:t>
      </w:r>
      <w:r w:rsidRPr="00DC15E0">
        <w:rPr>
          <w:rFonts w:ascii="Arial" w:hAnsi="Arial" w:cs="Arial"/>
          <w:sz w:val="20"/>
        </w:rPr>
        <w:t>’s risk tolerance.</w:t>
      </w:r>
    </w:p>
    <w:p w14:paraId="12D9502A" w14:textId="77777777" w:rsidR="00D3407B" w:rsidRPr="00DC15E0" w:rsidRDefault="00D3407B" w:rsidP="00D3407B">
      <w:pPr>
        <w:pStyle w:val="SoKPolicyThirdLevelContent"/>
        <w:numPr>
          <w:ilvl w:val="1"/>
          <w:numId w:val="10"/>
        </w:numPr>
        <w:spacing w:after="120"/>
        <w:rPr>
          <w:rFonts w:ascii="Arial" w:hAnsi="Arial" w:cs="Arial"/>
          <w:sz w:val="20"/>
        </w:rPr>
      </w:pPr>
      <w:r w:rsidRPr="00DC15E0">
        <w:rPr>
          <w:rFonts w:ascii="Arial" w:hAnsi="Arial" w:cs="Arial"/>
          <w:sz w:val="20"/>
        </w:rPr>
        <w:t>Third parties must provide documentation around their own risk management procedures, staffing requirements, recordkeeping, and security processes.</w:t>
      </w:r>
    </w:p>
    <w:p w14:paraId="12D9502B" w14:textId="77777777" w:rsidR="00D3407B" w:rsidRPr="00DC15E0" w:rsidRDefault="00D3407B" w:rsidP="00D3407B">
      <w:pPr>
        <w:pStyle w:val="SoKPolicySecondLevelContent"/>
        <w:numPr>
          <w:ilvl w:val="1"/>
          <w:numId w:val="10"/>
        </w:numPr>
        <w:spacing w:after="120"/>
        <w:rPr>
          <w:rFonts w:ascii="Arial" w:hAnsi="Arial" w:cs="Arial"/>
          <w:sz w:val="20"/>
        </w:rPr>
      </w:pPr>
      <w:r w:rsidRPr="00DC15E0">
        <w:rPr>
          <w:rFonts w:ascii="Arial" w:hAnsi="Arial" w:cs="Arial"/>
          <w:sz w:val="20"/>
        </w:rPr>
        <w:t xml:space="preserve">While both security and vulnerability assessments are to be performed by internal staff on an on-going basis, third parties will be retained every </w:t>
      </w:r>
      <w:r w:rsidRPr="00DC15E0">
        <w:rPr>
          <w:rFonts w:ascii="Arial" w:hAnsi="Arial" w:cs="Arial"/>
          <w:color w:val="808080"/>
          <w:sz w:val="20"/>
        </w:rPr>
        <w:t>[indicate frequency – suggest third]</w:t>
      </w:r>
      <w:r w:rsidRPr="00DC15E0">
        <w:rPr>
          <w:rFonts w:ascii="Arial" w:hAnsi="Arial" w:cs="Arial"/>
          <w:sz w:val="20"/>
        </w:rPr>
        <w:t xml:space="preserve"> assessment to ensure appropriate levels of coverage and oversight.</w:t>
      </w:r>
    </w:p>
    <w:p w14:paraId="12D9502C" w14:textId="77777777" w:rsidR="00D3407B" w:rsidRPr="00DC15E0" w:rsidRDefault="00D3407B" w:rsidP="00D3407B">
      <w:pPr>
        <w:pStyle w:val="SoKPolicyThirdLevelContent"/>
        <w:spacing w:after="120"/>
        <w:ind w:left="0"/>
        <w:rPr>
          <w:rFonts w:ascii="Arial" w:hAnsi="Arial" w:cs="Arial"/>
          <w:b/>
          <w:sz w:val="20"/>
        </w:rPr>
      </w:pPr>
      <w:r w:rsidRPr="00DC15E0">
        <w:rPr>
          <w:rFonts w:ascii="Arial" w:hAnsi="Arial" w:cs="Arial"/>
          <w:b/>
          <w:sz w:val="20"/>
        </w:rPr>
        <w:t>Security Performance and Metrics:</w:t>
      </w:r>
    </w:p>
    <w:p w14:paraId="12D9502D" w14:textId="038F637C" w:rsidR="00D3407B" w:rsidRPr="00DC15E0" w:rsidRDefault="00D3407B" w:rsidP="00D3407B">
      <w:pPr>
        <w:pStyle w:val="ListParagraph"/>
        <w:numPr>
          <w:ilvl w:val="1"/>
          <w:numId w:val="10"/>
        </w:numPr>
        <w:rPr>
          <w:rFonts w:cs="Arial"/>
          <w:szCs w:val="20"/>
        </w:rPr>
      </w:pPr>
      <w:r w:rsidRPr="00DC15E0">
        <w:rPr>
          <w:rFonts w:cs="Arial"/>
          <w:color w:val="A6A6A6" w:themeColor="background1" w:themeShade="A6"/>
          <w:szCs w:val="20"/>
        </w:rPr>
        <w:t xml:space="preserve">[Insert Company’s Name] </w:t>
      </w:r>
      <w:r w:rsidRPr="00DC15E0">
        <w:rPr>
          <w:rFonts w:cs="Arial"/>
          <w:szCs w:val="20"/>
        </w:rPr>
        <w:t xml:space="preserve">will determine what needs to be monitored and measured to demonstrate effectiveness of security and overall risk management processes (e.g. incident reporting, </w:t>
      </w:r>
      <w:r w:rsidR="000E56A3">
        <w:rPr>
          <w:rFonts w:cs="Arial"/>
          <w:szCs w:val="20"/>
        </w:rPr>
        <w:t xml:space="preserve">and </w:t>
      </w:r>
      <w:r w:rsidRPr="00DC15E0">
        <w:rPr>
          <w:rFonts w:cs="Arial"/>
          <w:szCs w:val="20"/>
        </w:rPr>
        <w:t>decrease in overall incidents).</w:t>
      </w:r>
    </w:p>
    <w:p w14:paraId="12D9502E" w14:textId="77777777" w:rsidR="00A04749" w:rsidRPr="00A04749" w:rsidRDefault="00A04749" w:rsidP="00A04749">
      <w:pPr>
        <w:ind w:left="173"/>
        <w:rPr>
          <w:rFonts w:cs="Arial"/>
          <w:sz w:val="24"/>
        </w:rPr>
      </w:pPr>
    </w:p>
    <w:p w14:paraId="12D9502F" w14:textId="77777777" w:rsidR="00A04749" w:rsidRPr="00A04749" w:rsidRDefault="00A04749" w:rsidP="00A04749">
      <w:pPr>
        <w:ind w:left="173"/>
        <w:rPr>
          <w:rFonts w:cs="Arial"/>
          <w:sz w:val="24"/>
        </w:rPr>
      </w:pPr>
    </w:p>
    <w:p w14:paraId="12D95030" w14:textId="77777777" w:rsidR="00A04749" w:rsidRPr="000E56A3" w:rsidRDefault="00A04749" w:rsidP="00A04749">
      <w:pPr>
        <w:spacing w:before="180"/>
        <w:rPr>
          <w:rFonts w:cs="Arial"/>
          <w:b/>
          <w:sz w:val="32"/>
          <w:szCs w:val="32"/>
        </w:rPr>
      </w:pPr>
      <w:r w:rsidRPr="000E56A3">
        <w:rPr>
          <w:rFonts w:cs="Arial"/>
          <w:b/>
          <w:sz w:val="32"/>
          <w:szCs w:val="32"/>
        </w:rPr>
        <w:t>Relevant Procedures</w:t>
      </w:r>
    </w:p>
    <w:p w14:paraId="12D95031" w14:textId="77777777" w:rsidR="00A04749" w:rsidRPr="00A04749" w:rsidRDefault="00A04749" w:rsidP="00A04749">
      <w:pPr>
        <w:spacing w:before="180"/>
        <w:rPr>
          <w:rFonts w:cs="Arial"/>
          <w:color w:val="808080" w:themeColor="background1" w:themeShade="80"/>
          <w:szCs w:val="20"/>
        </w:rPr>
      </w:pPr>
      <w:r w:rsidRPr="00A04749">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12D95032" w14:textId="77777777" w:rsidR="00A04749" w:rsidRPr="00A04749" w:rsidRDefault="00A04749" w:rsidP="00A04749">
      <w:pPr>
        <w:ind w:left="173"/>
        <w:rPr>
          <w:rFonts w:cs="Arial"/>
          <w:szCs w:val="20"/>
        </w:rPr>
      </w:pPr>
    </w:p>
    <w:p w14:paraId="12D95033" w14:textId="77777777" w:rsidR="00AA6841" w:rsidRPr="00A04749" w:rsidRDefault="00AA6841" w:rsidP="00AA6841">
      <w:pPr>
        <w:pStyle w:val="ListNumber"/>
        <w:numPr>
          <w:ilvl w:val="0"/>
          <w:numId w:val="0"/>
        </w:numPr>
        <w:tabs>
          <w:tab w:val="clear" w:pos="360"/>
        </w:tabs>
        <w:ind w:left="720"/>
        <w:rPr>
          <w:rFonts w:ascii="Arial" w:hAnsi="Arial" w:cs="Arial"/>
          <w:color w:val="000000" w:themeColor="text1"/>
        </w:rPr>
      </w:pPr>
    </w:p>
    <w:p w14:paraId="12D95034" w14:textId="77777777" w:rsidR="00B502A4" w:rsidRPr="00A04749" w:rsidRDefault="00B502A4" w:rsidP="00B502A4">
      <w:pPr>
        <w:pStyle w:val="Heading1"/>
      </w:pPr>
      <w:r w:rsidRPr="00A04749">
        <w:lastRenderedPageBreak/>
        <w:t>Non-Compliance</w:t>
      </w:r>
    </w:p>
    <w:p w14:paraId="12D95035" w14:textId="77777777" w:rsidR="00AA6841" w:rsidRPr="00A04749" w:rsidRDefault="00AA6841" w:rsidP="00AA6841">
      <w:pPr>
        <w:rPr>
          <w:rFonts w:cs="Arial"/>
          <w:color w:val="808080"/>
        </w:rPr>
      </w:pPr>
      <w:r w:rsidRPr="00A04749">
        <w:rPr>
          <w:rFonts w:cs="Arial"/>
          <w:color w:val="808080"/>
        </w:rPr>
        <w:t>Clearly describe consequences (legal and/or disciplinary) for employee non-compliance with the policy. It may be pertinent to describe the escalation process for repeated non-compliance.</w:t>
      </w:r>
    </w:p>
    <w:p w14:paraId="12D95036" w14:textId="77777777" w:rsidR="00B502A4" w:rsidRPr="00A04749" w:rsidRDefault="00B502A4" w:rsidP="00E64679">
      <w:pPr>
        <w:rPr>
          <w:rFonts w:cs="Arial"/>
        </w:rPr>
      </w:pPr>
    </w:p>
    <w:p w14:paraId="12D95037" w14:textId="7C8E27BD" w:rsidR="00AA6841" w:rsidRPr="00A04749" w:rsidRDefault="00AA6841" w:rsidP="00AA6841">
      <w:pPr>
        <w:rPr>
          <w:rFonts w:cs="Arial"/>
          <w:color w:val="000000" w:themeColor="text1"/>
        </w:rPr>
      </w:pPr>
      <w:r w:rsidRPr="00A04749">
        <w:rPr>
          <w:rFonts w:cs="Arial"/>
          <w:color w:val="000000" w:themeColor="text1"/>
        </w:rPr>
        <w:t xml:space="preserve">Violations of this policy will be treated like other allegations of wrongdoing at </w:t>
      </w:r>
      <w:r w:rsidRPr="00A04749">
        <w:rPr>
          <w:rFonts w:cs="Arial"/>
          <w:color w:val="A6A6A6" w:themeColor="background1" w:themeShade="A6"/>
        </w:rPr>
        <w:t>[</w:t>
      </w:r>
      <w:r w:rsidR="001424C2">
        <w:rPr>
          <w:rFonts w:cs="Arial"/>
          <w:color w:val="A6A6A6" w:themeColor="background1" w:themeShade="A6"/>
        </w:rPr>
        <w:t>Company Name</w:t>
      </w:r>
      <w:r w:rsidRPr="00A04749">
        <w:rPr>
          <w:rFonts w:cs="Arial"/>
          <w:color w:val="A6A6A6" w:themeColor="background1" w:themeShade="A6"/>
        </w:rPr>
        <w:t>]</w:t>
      </w:r>
      <w:r w:rsidRPr="00A04749">
        <w:rPr>
          <w:rFonts w:cs="Arial"/>
          <w:color w:val="000000" w:themeColor="text1"/>
        </w:rPr>
        <w:t>. Allegations of misconduct will be adjudicated according to established procedures. Sanctions for non-compliance may include, but are not limited to, one or more of the following:</w:t>
      </w:r>
    </w:p>
    <w:p w14:paraId="12D95038" w14:textId="77777777" w:rsidR="00AA6841" w:rsidRPr="00A04749" w:rsidRDefault="00AA6841" w:rsidP="00AA6841">
      <w:pPr>
        <w:rPr>
          <w:rFonts w:cs="Arial"/>
          <w:color w:val="000000" w:themeColor="text1"/>
        </w:rPr>
      </w:pPr>
    </w:p>
    <w:p w14:paraId="12D95039" w14:textId="73906FEC" w:rsidR="00AA6841" w:rsidRPr="00A04749" w:rsidRDefault="00AA6841" w:rsidP="00AA6841">
      <w:pPr>
        <w:pStyle w:val="ListNumber2"/>
        <w:rPr>
          <w:rFonts w:cs="Arial"/>
          <w:color w:val="000000" w:themeColor="text1"/>
        </w:rPr>
      </w:pPr>
      <w:r w:rsidRPr="00A04749">
        <w:rPr>
          <w:rFonts w:cs="Arial"/>
          <w:color w:val="000000" w:themeColor="text1"/>
        </w:rPr>
        <w:t xml:space="preserve">Disciplinary action according to applicable </w:t>
      </w:r>
      <w:r w:rsidRPr="00A04749">
        <w:rPr>
          <w:rFonts w:cs="Arial"/>
          <w:color w:val="A6A6A6" w:themeColor="background1" w:themeShade="A6"/>
        </w:rPr>
        <w:t>[</w:t>
      </w:r>
      <w:r w:rsidR="001424C2">
        <w:rPr>
          <w:rFonts w:cs="Arial"/>
          <w:color w:val="A6A6A6" w:themeColor="background1" w:themeShade="A6"/>
        </w:rPr>
        <w:t>Company Name</w:t>
      </w:r>
      <w:r w:rsidRPr="00A04749">
        <w:rPr>
          <w:rFonts w:cs="Arial"/>
          <w:color w:val="A6A6A6" w:themeColor="background1" w:themeShade="A6"/>
        </w:rPr>
        <w:t xml:space="preserve">] </w:t>
      </w:r>
      <w:r w:rsidRPr="00A04749">
        <w:rPr>
          <w:rFonts w:cs="Arial"/>
          <w:color w:val="000000" w:themeColor="text1"/>
        </w:rPr>
        <w:t xml:space="preserve">policies; </w:t>
      </w:r>
    </w:p>
    <w:p w14:paraId="12D9503A" w14:textId="77777777" w:rsidR="00AA6841" w:rsidRPr="00A04749" w:rsidRDefault="00AA6841" w:rsidP="00AA6841">
      <w:pPr>
        <w:pStyle w:val="ListNumber2"/>
        <w:rPr>
          <w:rFonts w:cs="Arial"/>
          <w:color w:val="000000" w:themeColor="text1"/>
        </w:rPr>
      </w:pPr>
      <w:r w:rsidRPr="00A04749">
        <w:rPr>
          <w:rFonts w:cs="Arial"/>
          <w:color w:val="000000" w:themeColor="text1"/>
        </w:rPr>
        <w:t>Termination of employment; and/or</w:t>
      </w:r>
    </w:p>
    <w:p w14:paraId="12D9503B" w14:textId="77777777" w:rsidR="00AA6841" w:rsidRPr="00A04749" w:rsidRDefault="00AA6841" w:rsidP="00AA6841">
      <w:pPr>
        <w:pStyle w:val="ListNumber2"/>
        <w:rPr>
          <w:rFonts w:cs="Arial"/>
          <w:color w:val="000000" w:themeColor="text1"/>
        </w:rPr>
      </w:pPr>
      <w:r w:rsidRPr="00A04749">
        <w:rPr>
          <w:rFonts w:cs="Arial"/>
          <w:color w:val="000000" w:themeColor="text1"/>
        </w:rPr>
        <w:t>Legal action according to applicable laws and contractual agreements.</w:t>
      </w:r>
    </w:p>
    <w:p w14:paraId="12D9503C" w14:textId="77777777" w:rsidR="00AA6841" w:rsidRPr="00A04749" w:rsidRDefault="00AA6841" w:rsidP="00E64679">
      <w:pPr>
        <w:rPr>
          <w:rFonts w:cs="Arial"/>
        </w:rPr>
      </w:pPr>
    </w:p>
    <w:p w14:paraId="12D9503D" w14:textId="77777777" w:rsidR="00AA6841" w:rsidRPr="00A04749" w:rsidRDefault="00AA6841" w:rsidP="00E64679">
      <w:pPr>
        <w:rPr>
          <w:rFonts w:cs="Arial"/>
        </w:rPr>
      </w:pPr>
      <w:bookmarkStart w:id="0" w:name="_GoBack"/>
      <w:bookmarkEnd w:id="0"/>
    </w:p>
    <w:sectPr w:rsidR="00AA6841" w:rsidRPr="00A04749" w:rsidSect="00F3751B">
      <w:headerReference w:type="default" r:id="rId9"/>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4AA74" w14:textId="77777777" w:rsidR="00C522BA" w:rsidRDefault="00C522BA">
      <w:r>
        <w:separator/>
      </w:r>
    </w:p>
  </w:endnote>
  <w:endnote w:type="continuationSeparator" w:id="0">
    <w:p w14:paraId="17AC2B42" w14:textId="77777777" w:rsidR="00C522BA" w:rsidRDefault="00C5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3E865" w14:textId="77777777" w:rsidR="00C522BA" w:rsidRDefault="00C522BA">
      <w:r>
        <w:separator/>
      </w:r>
    </w:p>
  </w:footnote>
  <w:footnote w:type="continuationSeparator" w:id="0">
    <w:p w14:paraId="22D8A0CD" w14:textId="77777777" w:rsidR="00C522BA" w:rsidRDefault="00C52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95076" w14:textId="6469DBBC"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15:restartNumberingAfterBreak="0">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687058"/>
    <w:multiLevelType w:val="hybridMultilevel"/>
    <w:tmpl w:val="83500734"/>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260B00"/>
    <w:multiLevelType w:val="hybridMultilevel"/>
    <w:tmpl w:val="CD2827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9"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C60834"/>
    <w:multiLevelType w:val="multilevel"/>
    <w:tmpl w:val="19D08B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auto"/>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9"/>
  </w:num>
  <w:num w:numId="3">
    <w:abstractNumId w:val="6"/>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1"/>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026ACB"/>
    <w:rsid w:val="00075A63"/>
    <w:rsid w:val="000B48DB"/>
    <w:rsid w:val="000E56A3"/>
    <w:rsid w:val="000F62E3"/>
    <w:rsid w:val="00101A2D"/>
    <w:rsid w:val="00106AF8"/>
    <w:rsid w:val="001123D5"/>
    <w:rsid w:val="00134035"/>
    <w:rsid w:val="001424C2"/>
    <w:rsid w:val="00145681"/>
    <w:rsid w:val="00186D07"/>
    <w:rsid w:val="001D5C1E"/>
    <w:rsid w:val="00212E88"/>
    <w:rsid w:val="00222174"/>
    <w:rsid w:val="002B5E4F"/>
    <w:rsid w:val="002D034A"/>
    <w:rsid w:val="002D47F6"/>
    <w:rsid w:val="003018D3"/>
    <w:rsid w:val="00303D6C"/>
    <w:rsid w:val="003331A9"/>
    <w:rsid w:val="003404E3"/>
    <w:rsid w:val="00352A14"/>
    <w:rsid w:val="00354A73"/>
    <w:rsid w:val="003D187A"/>
    <w:rsid w:val="00424A70"/>
    <w:rsid w:val="004307CB"/>
    <w:rsid w:val="00432006"/>
    <w:rsid w:val="004371F3"/>
    <w:rsid w:val="0044200A"/>
    <w:rsid w:val="00480E89"/>
    <w:rsid w:val="004D269E"/>
    <w:rsid w:val="004D32EB"/>
    <w:rsid w:val="005266E7"/>
    <w:rsid w:val="0054288B"/>
    <w:rsid w:val="00572EAF"/>
    <w:rsid w:val="005A3623"/>
    <w:rsid w:val="005B073C"/>
    <w:rsid w:val="00613C6B"/>
    <w:rsid w:val="00625F64"/>
    <w:rsid w:val="00636CD4"/>
    <w:rsid w:val="0066050C"/>
    <w:rsid w:val="00687F8E"/>
    <w:rsid w:val="006B66A1"/>
    <w:rsid w:val="006C19C9"/>
    <w:rsid w:val="006D629B"/>
    <w:rsid w:val="007008E2"/>
    <w:rsid w:val="00701BB0"/>
    <w:rsid w:val="0072444D"/>
    <w:rsid w:val="00742A60"/>
    <w:rsid w:val="007521AB"/>
    <w:rsid w:val="007547E6"/>
    <w:rsid w:val="007624CE"/>
    <w:rsid w:val="00797D60"/>
    <w:rsid w:val="007A6042"/>
    <w:rsid w:val="007A6EC1"/>
    <w:rsid w:val="007B4ACB"/>
    <w:rsid w:val="007D03A1"/>
    <w:rsid w:val="007D06EE"/>
    <w:rsid w:val="007E5261"/>
    <w:rsid w:val="007F767E"/>
    <w:rsid w:val="00804A11"/>
    <w:rsid w:val="0081572D"/>
    <w:rsid w:val="00861438"/>
    <w:rsid w:val="00866FC1"/>
    <w:rsid w:val="008B4684"/>
    <w:rsid w:val="008C5E54"/>
    <w:rsid w:val="008D0C7B"/>
    <w:rsid w:val="008F3CD7"/>
    <w:rsid w:val="009113E0"/>
    <w:rsid w:val="00915C20"/>
    <w:rsid w:val="009325AA"/>
    <w:rsid w:val="009420A3"/>
    <w:rsid w:val="0098731E"/>
    <w:rsid w:val="009C3253"/>
    <w:rsid w:val="009E43CD"/>
    <w:rsid w:val="00A04749"/>
    <w:rsid w:val="00AA6841"/>
    <w:rsid w:val="00AE32EB"/>
    <w:rsid w:val="00B15BF5"/>
    <w:rsid w:val="00B502A4"/>
    <w:rsid w:val="00B77AB1"/>
    <w:rsid w:val="00B93EF7"/>
    <w:rsid w:val="00BA5493"/>
    <w:rsid w:val="00BC1B91"/>
    <w:rsid w:val="00C24557"/>
    <w:rsid w:val="00C522BA"/>
    <w:rsid w:val="00C81438"/>
    <w:rsid w:val="00C8415D"/>
    <w:rsid w:val="00CA08B6"/>
    <w:rsid w:val="00CB51A4"/>
    <w:rsid w:val="00D011D4"/>
    <w:rsid w:val="00D020A7"/>
    <w:rsid w:val="00D206DA"/>
    <w:rsid w:val="00D2496C"/>
    <w:rsid w:val="00D27D32"/>
    <w:rsid w:val="00D3407B"/>
    <w:rsid w:val="00D76313"/>
    <w:rsid w:val="00DC143E"/>
    <w:rsid w:val="00DC7917"/>
    <w:rsid w:val="00DD068A"/>
    <w:rsid w:val="00DE2AF1"/>
    <w:rsid w:val="00E64679"/>
    <w:rsid w:val="00E72B5D"/>
    <w:rsid w:val="00E83C56"/>
    <w:rsid w:val="00F255AF"/>
    <w:rsid w:val="00F3751B"/>
    <w:rsid w:val="00F47D2C"/>
    <w:rsid w:val="00F70022"/>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D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qFormat/>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A04749"/>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A04749"/>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BD395EF0-5A48-4AB2-89E8-37F818BF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2015-11-30T20:23:00Z</dcterms:created>
  <dcterms:modified xsi:type="dcterms:W3CDTF">2016-09-30T14:21:00Z</dcterms:modified>
</cp:coreProperties>
</file>