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840C2" w14:textId="77777777" w:rsidR="00861438" w:rsidRPr="00A94CDB" w:rsidRDefault="00EB3236" w:rsidP="00C8415D">
      <w:pPr>
        <w:pStyle w:val="Heading1"/>
        <w:rPr>
          <w:sz w:val="36"/>
          <w:szCs w:val="36"/>
        </w:rPr>
      </w:pPr>
      <w:r w:rsidRPr="00A94CDB">
        <w:rPr>
          <w:sz w:val="36"/>
          <w:szCs w:val="36"/>
        </w:rPr>
        <w:t xml:space="preserve">Risk Assessment Policy </w:t>
      </w:r>
    </w:p>
    <w:p w14:paraId="4E0840C3" w14:textId="77777777" w:rsidR="00E64679" w:rsidRPr="00A94CDB" w:rsidRDefault="00E64679" w:rsidP="004307CB">
      <w:pPr>
        <w:spacing w:before="60" w:after="60"/>
        <w:rPr>
          <w:rFonts w:cs="Arial"/>
          <w:color w:val="808080" w:themeColor="background1" w:themeShade="80"/>
        </w:rPr>
      </w:pPr>
    </w:p>
    <w:p w14:paraId="4E0840DB" w14:textId="543FE800" w:rsidR="00E64679" w:rsidRPr="00A94CDB" w:rsidRDefault="004371F3" w:rsidP="004307CB">
      <w:pPr>
        <w:spacing w:before="60" w:after="60"/>
        <w:rPr>
          <w:rFonts w:cs="Arial"/>
          <w:color w:val="808080" w:themeColor="background1" w:themeShade="80"/>
        </w:rPr>
      </w:pPr>
      <w:r w:rsidRPr="00A94CDB">
        <w:rPr>
          <w:rFonts w:cs="Arial"/>
          <w:color w:val="808080" w:themeColor="background1" w:themeShade="80"/>
        </w:rPr>
        <w:t>To use this template, simply</w:t>
      </w:r>
      <w:r w:rsidR="004307CB" w:rsidRPr="00A94CDB">
        <w:rPr>
          <w:rFonts w:cs="Arial"/>
          <w:color w:val="808080" w:themeColor="background1" w:themeShade="80"/>
        </w:rPr>
        <w:t xml:space="preserve"> </w:t>
      </w:r>
      <w:r w:rsidRPr="00A94CDB">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A94CDB">
        <w:rPr>
          <w:rFonts w:cs="Arial"/>
          <w:color w:val="808080" w:themeColor="background1" w:themeShade="80"/>
        </w:rPr>
        <w:t xml:space="preserve">. </w:t>
      </w:r>
    </w:p>
    <w:p w14:paraId="4E0840DC" w14:textId="77777777" w:rsidR="008B4684" w:rsidRPr="00A94CDB" w:rsidRDefault="00E64679" w:rsidP="008B4684">
      <w:pPr>
        <w:pStyle w:val="Heading1"/>
      </w:pPr>
      <w:r w:rsidRPr="00A94CDB">
        <w:t>Purpose</w:t>
      </w:r>
    </w:p>
    <w:p w14:paraId="4E0840DD" w14:textId="77777777" w:rsidR="00E64679" w:rsidRPr="00A94CDB" w:rsidRDefault="00E64679" w:rsidP="00E64679">
      <w:pPr>
        <w:rPr>
          <w:rFonts w:cs="Arial"/>
          <w:color w:val="808080"/>
        </w:rPr>
      </w:pPr>
      <w:r w:rsidRPr="00A94CDB">
        <w:rPr>
          <w:rFonts w:cs="Arial"/>
          <w:color w:val="808080"/>
        </w:rPr>
        <w:t xml:space="preserve">Describe the factors or circumstances that mandate the existence of the policy. Also state the policy’s basic objectives and what the policy is meant to achieve. </w:t>
      </w:r>
    </w:p>
    <w:p w14:paraId="4E0840DE" w14:textId="77777777" w:rsidR="00E64679" w:rsidRPr="00A94CDB" w:rsidRDefault="00E64679" w:rsidP="00E64679">
      <w:pPr>
        <w:rPr>
          <w:rFonts w:cs="Arial"/>
          <w:color w:val="808080"/>
        </w:rPr>
      </w:pPr>
    </w:p>
    <w:p w14:paraId="4E0840DF" w14:textId="52A9F869" w:rsidR="00E64679" w:rsidRPr="00A94CDB" w:rsidRDefault="00E64679" w:rsidP="00E64679">
      <w:pPr>
        <w:rPr>
          <w:rFonts w:cs="Arial"/>
        </w:rPr>
      </w:pPr>
      <w:r w:rsidRPr="00A94CDB">
        <w:rPr>
          <w:rFonts w:cs="Arial"/>
        </w:rPr>
        <w:t xml:space="preserve">The quality and integrity of </w:t>
      </w:r>
      <w:r w:rsidRPr="00A94CDB">
        <w:rPr>
          <w:rFonts w:cs="Arial"/>
          <w:color w:val="AEAAAA" w:themeColor="background2" w:themeShade="BF"/>
        </w:rPr>
        <w:t>[</w:t>
      </w:r>
      <w:r w:rsidR="00034A4E">
        <w:rPr>
          <w:rFonts w:cs="Arial"/>
          <w:color w:val="AEAAAA" w:themeColor="background2" w:themeShade="BF"/>
        </w:rPr>
        <w:t>Company Name</w:t>
      </w:r>
      <w:r w:rsidRPr="00A94CDB">
        <w:rPr>
          <w:rFonts w:cs="Arial"/>
          <w:color w:val="AEAAAA" w:themeColor="background2" w:themeShade="BF"/>
        </w:rPr>
        <w:t>’s</w:t>
      </w:r>
      <w:r w:rsidR="00923738" w:rsidRPr="00A94CDB">
        <w:rPr>
          <w:rFonts w:cs="Arial"/>
          <w:color w:val="AEAAAA" w:themeColor="background2" w:themeShade="BF"/>
        </w:rPr>
        <w:t>]</w:t>
      </w:r>
      <w:r w:rsidR="00923738" w:rsidRPr="00A94CDB">
        <w:rPr>
          <w:rFonts w:cs="Arial"/>
        </w:rPr>
        <w:t xml:space="preserve"> risk</w:t>
      </w:r>
      <w:r w:rsidR="001B0ADC" w:rsidRPr="00A94CDB">
        <w:rPr>
          <w:rFonts w:cs="Arial"/>
        </w:rPr>
        <w:t xml:space="preserve"> assessments are used to determine the likelihood and magnitude of harm that could come to an information system and ultimately </w:t>
      </w:r>
      <w:r w:rsidR="001B0ADC" w:rsidRPr="006F50B5">
        <w:rPr>
          <w:rFonts w:cs="Arial"/>
          <w:color w:val="808080"/>
        </w:rPr>
        <w:t>[</w:t>
      </w:r>
      <w:r w:rsidR="00034A4E">
        <w:rPr>
          <w:rFonts w:cs="Arial"/>
          <w:color w:val="808080"/>
        </w:rPr>
        <w:t>Company Name</w:t>
      </w:r>
      <w:r w:rsidR="001B0ADC" w:rsidRPr="006F50B5">
        <w:rPr>
          <w:rFonts w:cs="Arial"/>
          <w:color w:val="808080"/>
        </w:rPr>
        <w:t>]</w:t>
      </w:r>
      <w:r w:rsidR="001B0ADC" w:rsidRPr="00A94CDB">
        <w:rPr>
          <w:rFonts w:cs="Arial"/>
        </w:rPr>
        <w:t xml:space="preserve"> itself in the event of a security breach. By determining the amount of risk that exists, </w:t>
      </w:r>
      <w:r w:rsidR="001B0ADC" w:rsidRPr="006F50B5">
        <w:rPr>
          <w:rFonts w:cs="Arial"/>
          <w:color w:val="808080"/>
        </w:rPr>
        <w:t>[</w:t>
      </w:r>
      <w:r w:rsidR="00034A4E">
        <w:rPr>
          <w:rFonts w:cs="Arial"/>
          <w:color w:val="808080"/>
        </w:rPr>
        <w:t>Company Name</w:t>
      </w:r>
      <w:r w:rsidR="001B0ADC" w:rsidRPr="006F50B5">
        <w:rPr>
          <w:rFonts w:cs="Arial"/>
          <w:color w:val="808080"/>
        </w:rPr>
        <w:t>]</w:t>
      </w:r>
      <w:r w:rsidR="001B0ADC" w:rsidRPr="00A94CDB">
        <w:rPr>
          <w:rFonts w:cs="Arial"/>
        </w:rPr>
        <w:t xml:space="preserve"> will be in a better position to determine how much of that risk should be mitigated and what controls should be used to achieve that mitigation. Without risk assessments</w:t>
      </w:r>
      <w:r w:rsidR="006F50B5">
        <w:rPr>
          <w:rFonts w:cs="Arial"/>
        </w:rPr>
        <w:t>,</w:t>
      </w:r>
      <w:r w:rsidR="001B0ADC" w:rsidRPr="00A94CDB">
        <w:rPr>
          <w:rFonts w:cs="Arial"/>
        </w:rPr>
        <w:t xml:space="preserve"> the potential exists that the organization can leverage inappropriate (either too strict or too lax) security controls to protect information systems.</w:t>
      </w:r>
    </w:p>
    <w:p w14:paraId="4E0840E0" w14:textId="77777777" w:rsidR="00E64679" w:rsidRPr="00A94CDB" w:rsidRDefault="00E64679" w:rsidP="00E64679">
      <w:pPr>
        <w:pStyle w:val="Heading1"/>
      </w:pPr>
      <w:r w:rsidRPr="00A94CDB">
        <w:t>Scope</w:t>
      </w:r>
    </w:p>
    <w:p w14:paraId="4E0840E1" w14:textId="002650F8" w:rsidR="00E64679" w:rsidRPr="00A94CDB" w:rsidRDefault="00E64679" w:rsidP="00E64679">
      <w:pPr>
        <w:rPr>
          <w:rFonts w:cs="Arial"/>
          <w:color w:val="808080"/>
        </w:rPr>
      </w:pPr>
      <w:r w:rsidRPr="00A94CDB">
        <w:rPr>
          <w:rFonts w:cs="Arial"/>
          <w:color w:val="808080"/>
        </w:rPr>
        <w:t>Define to whom and to what systems this policy applies. List the employees required to comply, or simply indicate “all” if all must comply. Also indicate any exclusions or exceptions</w:t>
      </w:r>
      <w:r w:rsidR="006F50B5">
        <w:rPr>
          <w:rFonts w:cs="Arial"/>
          <w:color w:val="808080"/>
        </w:rPr>
        <w:t>,</w:t>
      </w:r>
      <w:r w:rsidRPr="00A94CDB">
        <w:rPr>
          <w:rFonts w:cs="Arial"/>
          <w:color w:val="808080"/>
        </w:rPr>
        <w:t xml:space="preserve"> i.e. those people, elements</w:t>
      </w:r>
      <w:r w:rsidR="006F50B5">
        <w:rPr>
          <w:rFonts w:cs="Arial"/>
          <w:color w:val="808080"/>
        </w:rPr>
        <w:t>,</w:t>
      </w:r>
      <w:r w:rsidRPr="00A94CDB">
        <w:rPr>
          <w:rFonts w:cs="Arial"/>
          <w:color w:val="808080"/>
        </w:rPr>
        <w:t xml:space="preserve"> or situations that are not covered by this policy or where special consideration may be made.</w:t>
      </w:r>
    </w:p>
    <w:p w14:paraId="4E0840E2" w14:textId="77777777" w:rsidR="00E64679" w:rsidRPr="00A94CDB" w:rsidRDefault="00E64679" w:rsidP="00E64679">
      <w:pPr>
        <w:rPr>
          <w:rFonts w:cs="Arial"/>
          <w:color w:val="808080"/>
          <w:szCs w:val="20"/>
        </w:rPr>
      </w:pPr>
    </w:p>
    <w:p w14:paraId="4E0840E3" w14:textId="1C9DA0F9" w:rsidR="001B0ADC" w:rsidRPr="00A94CDB" w:rsidRDefault="00E64679" w:rsidP="001B0ADC">
      <w:pPr>
        <w:pStyle w:val="SoKPolicySecondLevelContent"/>
        <w:spacing w:after="120"/>
        <w:ind w:left="168"/>
        <w:rPr>
          <w:rFonts w:ascii="Arial" w:hAnsi="Arial" w:cs="Arial"/>
          <w:sz w:val="20"/>
        </w:rPr>
      </w:pPr>
      <w:r w:rsidRPr="00A94CDB">
        <w:rPr>
          <w:rFonts w:ascii="Arial" w:hAnsi="Arial" w:cs="Arial"/>
          <w:color w:val="000000" w:themeColor="text1"/>
          <w:sz w:val="20"/>
        </w:rPr>
        <w:t xml:space="preserve">The </w:t>
      </w:r>
      <w:r w:rsidR="001B0ADC" w:rsidRPr="00A94CDB">
        <w:rPr>
          <w:rFonts w:ascii="Arial" w:hAnsi="Arial" w:cs="Arial"/>
          <w:color w:val="000000" w:themeColor="text1"/>
          <w:sz w:val="20"/>
        </w:rPr>
        <w:t xml:space="preserve">Risk </w:t>
      </w:r>
      <w:r w:rsidR="00923738" w:rsidRPr="00A94CDB">
        <w:rPr>
          <w:rFonts w:ascii="Arial" w:hAnsi="Arial" w:cs="Arial"/>
          <w:color w:val="000000" w:themeColor="text1"/>
          <w:sz w:val="20"/>
        </w:rPr>
        <w:t>Assessment</w:t>
      </w:r>
      <w:r w:rsidR="001B0ADC" w:rsidRPr="00A94CDB">
        <w:rPr>
          <w:rFonts w:ascii="Arial" w:hAnsi="Arial" w:cs="Arial"/>
          <w:color w:val="000000" w:themeColor="text1"/>
          <w:sz w:val="20"/>
        </w:rPr>
        <w:t xml:space="preserve"> </w:t>
      </w:r>
      <w:r w:rsidRPr="00A94CDB">
        <w:rPr>
          <w:rFonts w:ascii="Arial" w:hAnsi="Arial" w:cs="Arial"/>
          <w:color w:val="000000" w:themeColor="text1"/>
          <w:sz w:val="20"/>
        </w:rPr>
        <w:t xml:space="preserve">Policy applies to all employees of </w:t>
      </w:r>
      <w:r w:rsidRPr="00A94CDB">
        <w:rPr>
          <w:rFonts w:ascii="Arial" w:hAnsi="Arial" w:cs="Arial"/>
          <w:color w:val="AEAAAA" w:themeColor="background2" w:themeShade="BF"/>
          <w:sz w:val="20"/>
        </w:rPr>
        <w:t>[</w:t>
      </w:r>
      <w:r w:rsidR="00034A4E">
        <w:rPr>
          <w:rFonts w:ascii="Arial" w:hAnsi="Arial" w:cs="Arial"/>
          <w:color w:val="AEAAAA" w:themeColor="background2" w:themeShade="BF"/>
          <w:sz w:val="20"/>
        </w:rPr>
        <w:t>Company Name</w:t>
      </w:r>
      <w:r w:rsidRPr="00A94CDB">
        <w:rPr>
          <w:rFonts w:ascii="Arial" w:hAnsi="Arial" w:cs="Arial"/>
          <w:color w:val="AEAAAA" w:themeColor="background2" w:themeShade="BF"/>
          <w:sz w:val="20"/>
        </w:rPr>
        <w:t>]</w:t>
      </w:r>
      <w:r w:rsidRPr="00A94CDB">
        <w:rPr>
          <w:rFonts w:ascii="Arial" w:hAnsi="Arial" w:cs="Arial"/>
          <w:color w:val="000000" w:themeColor="text1"/>
          <w:sz w:val="20"/>
        </w:rPr>
        <w:t xml:space="preserve">, including all temporary or contract workers. Specifically, </w:t>
      </w:r>
      <w:r w:rsidR="001B0ADC" w:rsidRPr="00A94CDB">
        <w:rPr>
          <w:rFonts w:ascii="Arial" w:hAnsi="Arial" w:cs="Arial"/>
          <w:sz w:val="20"/>
        </w:rPr>
        <w:t>it includes:</w:t>
      </w:r>
    </w:p>
    <w:p w14:paraId="4E0840E4" w14:textId="58FCE780" w:rsidR="001B0ADC" w:rsidRPr="00A94CDB" w:rsidRDefault="00EB3236" w:rsidP="00A94CDB">
      <w:pPr>
        <w:pStyle w:val="SoKPolicySecondLevelContent"/>
        <w:numPr>
          <w:ilvl w:val="0"/>
          <w:numId w:val="19"/>
        </w:numPr>
        <w:spacing w:after="120"/>
        <w:rPr>
          <w:rFonts w:ascii="Arial" w:hAnsi="Arial" w:cs="Arial"/>
          <w:sz w:val="20"/>
        </w:rPr>
      </w:pPr>
      <w:r w:rsidRPr="00A94CDB">
        <w:rPr>
          <w:rFonts w:ascii="Arial" w:hAnsi="Arial" w:cs="Arial"/>
          <w:sz w:val="20"/>
        </w:rPr>
        <w:t>Mainframes, servers</w:t>
      </w:r>
      <w:r w:rsidR="006F50B5">
        <w:rPr>
          <w:rFonts w:ascii="Arial" w:hAnsi="Arial" w:cs="Arial"/>
          <w:sz w:val="20"/>
        </w:rPr>
        <w:t>,</w:t>
      </w:r>
      <w:r w:rsidRPr="00A94CDB">
        <w:rPr>
          <w:rFonts w:ascii="Arial" w:hAnsi="Arial" w:cs="Arial"/>
          <w:sz w:val="20"/>
        </w:rPr>
        <w:t xml:space="preserve"> and other devices that provide centralized computing capabilities.</w:t>
      </w:r>
    </w:p>
    <w:p w14:paraId="4E0840E5" w14:textId="7949F62F" w:rsidR="001B0ADC" w:rsidRPr="00A94CDB" w:rsidRDefault="00EB3236" w:rsidP="00A94CDB">
      <w:pPr>
        <w:pStyle w:val="SoKPolicySecondLevelContent"/>
        <w:numPr>
          <w:ilvl w:val="0"/>
          <w:numId w:val="19"/>
        </w:numPr>
        <w:spacing w:after="120"/>
        <w:rPr>
          <w:rFonts w:ascii="Arial" w:hAnsi="Arial" w:cs="Arial"/>
          <w:sz w:val="20"/>
        </w:rPr>
      </w:pPr>
      <w:r w:rsidRPr="00A94CDB">
        <w:rPr>
          <w:rFonts w:ascii="Arial" w:hAnsi="Arial" w:cs="Arial"/>
          <w:sz w:val="20"/>
        </w:rPr>
        <w:t>SAN, NAS</w:t>
      </w:r>
      <w:r w:rsidR="006F50B5">
        <w:rPr>
          <w:rFonts w:ascii="Arial" w:hAnsi="Arial" w:cs="Arial"/>
          <w:sz w:val="20"/>
        </w:rPr>
        <w:t>,</w:t>
      </w:r>
      <w:r w:rsidRPr="00A94CDB">
        <w:rPr>
          <w:rFonts w:ascii="Arial" w:hAnsi="Arial" w:cs="Arial"/>
          <w:sz w:val="20"/>
        </w:rPr>
        <w:t xml:space="preserve"> and other devices that provide centralized storage capabilities.</w:t>
      </w:r>
    </w:p>
    <w:p w14:paraId="4E0840E6" w14:textId="25766BC0" w:rsidR="001B0ADC" w:rsidRPr="00A94CDB" w:rsidRDefault="00EB3236" w:rsidP="00A94CDB">
      <w:pPr>
        <w:pStyle w:val="SoKPolicySecondLevelContent"/>
        <w:numPr>
          <w:ilvl w:val="0"/>
          <w:numId w:val="19"/>
        </w:numPr>
        <w:spacing w:after="120"/>
        <w:rPr>
          <w:rFonts w:ascii="Arial" w:hAnsi="Arial" w:cs="Arial"/>
          <w:sz w:val="20"/>
        </w:rPr>
      </w:pPr>
      <w:r w:rsidRPr="00A94CDB">
        <w:rPr>
          <w:rFonts w:ascii="Arial" w:hAnsi="Arial" w:cs="Arial"/>
          <w:sz w:val="20"/>
        </w:rPr>
        <w:t>Desktops, laptops</w:t>
      </w:r>
      <w:r w:rsidR="006F50B5">
        <w:rPr>
          <w:rFonts w:ascii="Arial" w:hAnsi="Arial" w:cs="Arial"/>
          <w:sz w:val="20"/>
        </w:rPr>
        <w:t>,</w:t>
      </w:r>
      <w:r w:rsidRPr="00A94CDB">
        <w:rPr>
          <w:rFonts w:ascii="Arial" w:hAnsi="Arial" w:cs="Arial"/>
          <w:sz w:val="20"/>
        </w:rPr>
        <w:t xml:space="preserve"> and other devices that provide distributed computing capabilities.</w:t>
      </w:r>
    </w:p>
    <w:p w14:paraId="4E0840E7" w14:textId="4B107632" w:rsidR="00EB3236" w:rsidRPr="00A94CDB" w:rsidRDefault="00EB3236" w:rsidP="00A94CDB">
      <w:pPr>
        <w:pStyle w:val="SoKPolicySecondLevelContent"/>
        <w:numPr>
          <w:ilvl w:val="0"/>
          <w:numId w:val="19"/>
        </w:numPr>
        <w:spacing w:after="120"/>
        <w:rPr>
          <w:rFonts w:ascii="Arial" w:hAnsi="Arial" w:cs="Arial"/>
          <w:sz w:val="20"/>
        </w:rPr>
      </w:pPr>
      <w:r w:rsidRPr="00A94CDB">
        <w:rPr>
          <w:rFonts w:ascii="Arial" w:hAnsi="Arial" w:cs="Arial"/>
          <w:sz w:val="20"/>
        </w:rPr>
        <w:t>Routers, switches</w:t>
      </w:r>
      <w:r w:rsidR="006F50B5">
        <w:rPr>
          <w:rFonts w:ascii="Arial" w:hAnsi="Arial" w:cs="Arial"/>
          <w:sz w:val="20"/>
        </w:rPr>
        <w:t>,</w:t>
      </w:r>
      <w:r w:rsidRPr="00A94CDB">
        <w:rPr>
          <w:rFonts w:ascii="Arial" w:hAnsi="Arial" w:cs="Arial"/>
          <w:sz w:val="20"/>
        </w:rPr>
        <w:t xml:space="preserve"> and other devices that provide network capabilities.</w:t>
      </w:r>
    </w:p>
    <w:p w14:paraId="4E0840E8" w14:textId="51934703" w:rsidR="00EB3236" w:rsidRPr="00A94CDB" w:rsidRDefault="00EB3236" w:rsidP="00A94CDB">
      <w:pPr>
        <w:pStyle w:val="SoKPolicySecondLevelContent"/>
        <w:numPr>
          <w:ilvl w:val="0"/>
          <w:numId w:val="19"/>
        </w:numPr>
        <w:rPr>
          <w:rFonts w:ascii="Arial" w:hAnsi="Arial" w:cs="Arial"/>
          <w:sz w:val="20"/>
        </w:rPr>
      </w:pPr>
      <w:r w:rsidRPr="00A94CDB">
        <w:rPr>
          <w:rFonts w:ascii="Arial" w:hAnsi="Arial" w:cs="Arial"/>
          <w:sz w:val="20"/>
        </w:rPr>
        <w:t>Firewalls, IDP sensors</w:t>
      </w:r>
      <w:r w:rsidR="006F50B5">
        <w:rPr>
          <w:rFonts w:ascii="Arial" w:hAnsi="Arial" w:cs="Arial"/>
          <w:sz w:val="20"/>
        </w:rPr>
        <w:t>,</w:t>
      </w:r>
      <w:r w:rsidRPr="00A94CDB">
        <w:rPr>
          <w:rFonts w:ascii="Arial" w:hAnsi="Arial" w:cs="Arial"/>
          <w:sz w:val="20"/>
        </w:rPr>
        <w:t xml:space="preserve"> and other devices that provide dedicated security capabilities.</w:t>
      </w:r>
    </w:p>
    <w:p w14:paraId="4E0840E9" w14:textId="77777777" w:rsidR="00B502A4" w:rsidRPr="00A94CDB" w:rsidRDefault="00B502A4" w:rsidP="00E64679">
      <w:pPr>
        <w:rPr>
          <w:rFonts w:cs="Arial"/>
          <w:color w:val="000000" w:themeColor="text1"/>
        </w:rPr>
      </w:pPr>
    </w:p>
    <w:p w14:paraId="4E0840EA" w14:textId="77777777" w:rsidR="00B502A4" w:rsidRPr="00A94CDB" w:rsidRDefault="00B502A4" w:rsidP="00B502A4">
      <w:pPr>
        <w:pStyle w:val="Heading1"/>
      </w:pPr>
      <w:r w:rsidRPr="00A94CDB">
        <w:t>Definitions</w:t>
      </w:r>
    </w:p>
    <w:p w14:paraId="4E0840EB" w14:textId="1A1818AE" w:rsidR="00B502A4" w:rsidRPr="00A94CDB" w:rsidRDefault="00B502A4" w:rsidP="00B502A4">
      <w:pPr>
        <w:rPr>
          <w:rFonts w:cs="Arial"/>
          <w:color w:val="808080"/>
        </w:rPr>
      </w:pPr>
      <w:r w:rsidRPr="00A94CDB">
        <w:rPr>
          <w:rFonts w:cs="Arial"/>
          <w:color w:val="808080"/>
        </w:rPr>
        <w:t>Define any key terms, acronyms</w:t>
      </w:r>
      <w:r w:rsidR="006F50B5">
        <w:rPr>
          <w:rFonts w:cs="Arial"/>
          <w:color w:val="808080"/>
        </w:rPr>
        <w:t>,</w:t>
      </w:r>
      <w:r w:rsidRPr="00A94CDB">
        <w:rPr>
          <w:rFonts w:cs="Arial"/>
          <w:color w:val="808080"/>
        </w:rPr>
        <w:t xml:space="preserve"> or concepts that will be used in the policy. A standard glossary approach is sufficient.</w:t>
      </w:r>
    </w:p>
    <w:p w14:paraId="4E0840EC" w14:textId="77777777" w:rsidR="00B502A4" w:rsidRPr="00A94CDB" w:rsidRDefault="00B502A4" w:rsidP="00B502A4">
      <w:pPr>
        <w:rPr>
          <w:rFonts w:cs="Arial"/>
          <w:color w:val="808080"/>
        </w:rPr>
      </w:pPr>
    </w:p>
    <w:p w14:paraId="4E0840ED" w14:textId="77777777" w:rsidR="00B502A4" w:rsidRPr="00A94CDB" w:rsidRDefault="00B502A4" w:rsidP="00B502A4">
      <w:pPr>
        <w:pStyle w:val="Heading1"/>
      </w:pPr>
      <w:r w:rsidRPr="00A94CDB">
        <w:t>Governing Laws &amp; Regulations</w:t>
      </w:r>
    </w:p>
    <w:p w14:paraId="4E0840EE" w14:textId="77777777" w:rsidR="00E64679" w:rsidRPr="00A94CDB" w:rsidRDefault="00B502A4" w:rsidP="00E64679">
      <w:pPr>
        <w:rPr>
          <w:rFonts w:cs="Arial"/>
          <w:color w:val="808080"/>
        </w:rPr>
      </w:pPr>
      <w:proofErr w:type="gramStart"/>
      <w:r w:rsidRPr="00A94CDB">
        <w:rPr>
          <w:rFonts w:cs="Arial"/>
          <w:color w:val="808080"/>
        </w:rPr>
        <w:t>If applicable, list any laws or regulations that govern the policy or with which the policy must comply.</w:t>
      </w:r>
      <w:proofErr w:type="gramEnd"/>
      <w:r w:rsidRPr="00A94CDB">
        <w:rPr>
          <w:rFonts w:cs="Arial"/>
          <w:color w:val="808080"/>
        </w:rPr>
        <w:t xml:space="preserve"> Confirm with the legal department that the list is full and accurate. If there are no pertinent governing laws or regulations, delete this section. </w:t>
      </w:r>
    </w:p>
    <w:p w14:paraId="4E0840EF" w14:textId="77777777" w:rsidR="00B502A4" w:rsidRPr="00A94CDB" w:rsidRDefault="00B502A4" w:rsidP="00B502A4">
      <w:pPr>
        <w:pStyle w:val="Heading1"/>
      </w:pPr>
      <w:r w:rsidRPr="00A94CDB">
        <w:t>Policy Statements</w:t>
      </w:r>
    </w:p>
    <w:p w14:paraId="4E0840F0" w14:textId="77777777" w:rsidR="00B502A4" w:rsidRPr="00A94CDB" w:rsidRDefault="00B502A4" w:rsidP="00B502A4">
      <w:pPr>
        <w:rPr>
          <w:rFonts w:cs="Arial"/>
          <w:color w:val="808080"/>
          <w:szCs w:val="20"/>
        </w:rPr>
      </w:pPr>
      <w:r w:rsidRPr="00A94CDB">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4E0840F1" w14:textId="77777777" w:rsidR="00B502A4" w:rsidRPr="00A94CDB" w:rsidRDefault="00B502A4" w:rsidP="00B502A4">
      <w:pPr>
        <w:rPr>
          <w:rFonts w:cs="Arial"/>
          <w:color w:val="808080"/>
          <w:szCs w:val="20"/>
        </w:rPr>
      </w:pPr>
    </w:p>
    <w:p w14:paraId="4E0840F2" w14:textId="22EF141F" w:rsidR="00EB3236" w:rsidRPr="00A94CDB" w:rsidRDefault="00EB3236" w:rsidP="00EB3236">
      <w:pPr>
        <w:pStyle w:val="SoKPolicyThirdLevelContent"/>
        <w:numPr>
          <w:ilvl w:val="0"/>
          <w:numId w:val="8"/>
        </w:numPr>
        <w:tabs>
          <w:tab w:val="clear" w:pos="1980"/>
          <w:tab w:val="num" w:pos="532"/>
        </w:tabs>
        <w:spacing w:after="120"/>
        <w:ind w:left="532"/>
        <w:rPr>
          <w:rFonts w:ascii="Arial" w:hAnsi="Arial" w:cs="Arial"/>
          <w:sz w:val="20"/>
        </w:rPr>
      </w:pPr>
      <w:r w:rsidRPr="00A94CDB">
        <w:rPr>
          <w:rFonts w:ascii="Arial" w:hAnsi="Arial" w:cs="Arial"/>
          <w:sz w:val="20"/>
        </w:rPr>
        <w:t xml:space="preserve">Risk assessments will be performed on all information systems that house or access </w:t>
      </w:r>
      <w:r w:rsidRPr="006F50B5">
        <w:rPr>
          <w:rFonts w:ascii="Arial" w:hAnsi="Arial" w:cs="Arial"/>
          <w:color w:val="808080"/>
          <w:sz w:val="20"/>
        </w:rPr>
        <w:t>[</w:t>
      </w:r>
      <w:r w:rsidR="00034A4E">
        <w:rPr>
          <w:rFonts w:ascii="Arial" w:hAnsi="Arial" w:cs="Arial"/>
          <w:color w:val="808080"/>
          <w:sz w:val="20"/>
        </w:rPr>
        <w:t>Company Name</w:t>
      </w:r>
      <w:r w:rsidRPr="006F50B5">
        <w:rPr>
          <w:rFonts w:ascii="Arial" w:hAnsi="Arial" w:cs="Arial"/>
          <w:color w:val="808080"/>
          <w:sz w:val="20"/>
        </w:rPr>
        <w:t>]</w:t>
      </w:r>
      <w:r w:rsidRPr="00A94CDB">
        <w:rPr>
          <w:rFonts w:ascii="Arial" w:hAnsi="Arial" w:cs="Arial"/>
          <w:sz w:val="20"/>
        </w:rPr>
        <w:t xml:space="preserve"> controlled information. These assessments will address unauthorized access, use, disclosure, disruption, modification</w:t>
      </w:r>
      <w:r w:rsidR="006F50B5">
        <w:rPr>
          <w:rFonts w:ascii="Arial" w:hAnsi="Arial" w:cs="Arial"/>
          <w:sz w:val="20"/>
        </w:rPr>
        <w:t>,</w:t>
      </w:r>
      <w:r w:rsidRPr="00A94CDB">
        <w:rPr>
          <w:rFonts w:ascii="Arial" w:hAnsi="Arial" w:cs="Arial"/>
          <w:sz w:val="20"/>
        </w:rPr>
        <w:t xml:space="preserve"> and/or destruction of information or the information system itself. Further, the assessments </w:t>
      </w:r>
      <w:r w:rsidRPr="00A94CDB">
        <w:rPr>
          <w:rFonts w:ascii="Arial" w:hAnsi="Arial" w:cs="Arial"/>
          <w:sz w:val="20"/>
        </w:rPr>
        <w:lastRenderedPageBreak/>
        <w:t>shall identify known potential threats, the likelihood of their occurrence</w:t>
      </w:r>
      <w:r w:rsidR="006F50B5">
        <w:rPr>
          <w:rFonts w:ascii="Arial" w:hAnsi="Arial" w:cs="Arial"/>
          <w:sz w:val="20"/>
        </w:rPr>
        <w:t>,</w:t>
      </w:r>
      <w:r w:rsidRPr="00A94CDB">
        <w:rPr>
          <w:rFonts w:ascii="Arial" w:hAnsi="Arial" w:cs="Arial"/>
          <w:sz w:val="20"/>
        </w:rPr>
        <w:t xml:space="preserve"> and the magnitude of the impact of those threats should they occur.</w:t>
      </w:r>
    </w:p>
    <w:p w14:paraId="4E0840F3" w14:textId="59D5453A" w:rsidR="00EB3236" w:rsidRPr="00A94CDB" w:rsidRDefault="00EB3236" w:rsidP="00EB3236">
      <w:pPr>
        <w:pStyle w:val="SoKPolicyThirdLevelContent"/>
        <w:numPr>
          <w:ilvl w:val="0"/>
          <w:numId w:val="8"/>
        </w:numPr>
        <w:tabs>
          <w:tab w:val="clear" w:pos="1980"/>
          <w:tab w:val="num" w:pos="532"/>
        </w:tabs>
        <w:spacing w:after="120"/>
        <w:ind w:left="532"/>
        <w:rPr>
          <w:rFonts w:ascii="Arial" w:hAnsi="Arial" w:cs="Arial"/>
          <w:sz w:val="20"/>
        </w:rPr>
      </w:pPr>
      <w:r w:rsidRPr="00A94CDB">
        <w:rPr>
          <w:rFonts w:ascii="Arial" w:hAnsi="Arial" w:cs="Arial"/>
          <w:sz w:val="20"/>
        </w:rPr>
        <w:t xml:space="preserve">Risk assessments shall be performed upon initial acquisition of an information system (in the event that the information system is owned/operated by </w:t>
      </w:r>
      <w:r w:rsidRPr="006F50B5">
        <w:rPr>
          <w:rFonts w:ascii="Arial" w:hAnsi="Arial" w:cs="Arial"/>
          <w:color w:val="808080"/>
          <w:sz w:val="20"/>
        </w:rPr>
        <w:t>[</w:t>
      </w:r>
      <w:r w:rsidR="00034A4E">
        <w:rPr>
          <w:rFonts w:ascii="Arial" w:hAnsi="Arial" w:cs="Arial"/>
          <w:color w:val="808080"/>
          <w:sz w:val="20"/>
        </w:rPr>
        <w:t>Company Name</w:t>
      </w:r>
      <w:r w:rsidRPr="006F50B5">
        <w:rPr>
          <w:rFonts w:ascii="Arial" w:hAnsi="Arial" w:cs="Arial"/>
          <w:color w:val="808080"/>
          <w:sz w:val="20"/>
        </w:rPr>
        <w:t>]</w:t>
      </w:r>
      <w:r w:rsidRPr="00A94CDB">
        <w:rPr>
          <w:rFonts w:ascii="Arial" w:hAnsi="Arial" w:cs="Arial"/>
          <w:sz w:val="20"/>
        </w:rPr>
        <w:t xml:space="preserve">) or prior to initial establishment of service agreements </w:t>
      </w:r>
      <w:r w:rsidR="009B7846">
        <w:rPr>
          <w:rFonts w:ascii="Arial" w:hAnsi="Arial" w:cs="Arial"/>
          <w:sz w:val="20"/>
        </w:rPr>
        <w:t xml:space="preserve">or </w:t>
      </w:r>
      <w:r w:rsidRPr="00A94CDB">
        <w:rPr>
          <w:rFonts w:ascii="Arial" w:hAnsi="Arial" w:cs="Arial"/>
          <w:sz w:val="20"/>
        </w:rPr>
        <w:t xml:space="preserve">in the event that the information system is owned/operated by a third party on behalf of </w:t>
      </w:r>
      <w:r w:rsidRPr="006F50B5">
        <w:rPr>
          <w:rFonts w:ascii="Arial" w:hAnsi="Arial" w:cs="Arial"/>
          <w:color w:val="808080"/>
          <w:sz w:val="20"/>
        </w:rPr>
        <w:t>[</w:t>
      </w:r>
      <w:r w:rsidR="00034A4E">
        <w:rPr>
          <w:rFonts w:ascii="Arial" w:hAnsi="Arial" w:cs="Arial"/>
          <w:color w:val="808080"/>
          <w:sz w:val="20"/>
        </w:rPr>
        <w:t>Company Name</w:t>
      </w:r>
      <w:r w:rsidRPr="006F50B5">
        <w:rPr>
          <w:rFonts w:ascii="Arial" w:hAnsi="Arial" w:cs="Arial"/>
          <w:color w:val="808080"/>
          <w:sz w:val="20"/>
        </w:rPr>
        <w:t>]</w:t>
      </w:r>
      <w:r w:rsidRPr="00A94CDB">
        <w:rPr>
          <w:rFonts w:ascii="Arial" w:hAnsi="Arial" w:cs="Arial"/>
          <w:sz w:val="20"/>
        </w:rPr>
        <w:t xml:space="preserve">). Further, the risk assessment shall be reviewed and, where required, updated after </w:t>
      </w:r>
      <w:r w:rsidRPr="006F50B5">
        <w:rPr>
          <w:rFonts w:ascii="Arial" w:hAnsi="Arial" w:cs="Arial"/>
          <w:color w:val="808080"/>
          <w:sz w:val="20"/>
        </w:rPr>
        <w:t>[indicate interval – suggest three years]</w:t>
      </w:r>
      <w:r w:rsidRPr="00A94CDB">
        <w:rPr>
          <w:rFonts w:ascii="Arial" w:hAnsi="Arial" w:cs="Arial"/>
          <w:sz w:val="20"/>
        </w:rPr>
        <w:t xml:space="preserve"> or whenever a significant change is made to the information system, whichever comes first.</w:t>
      </w:r>
    </w:p>
    <w:p w14:paraId="4E0840F4" w14:textId="77777777" w:rsidR="00B130F2" w:rsidRPr="009B7846" w:rsidRDefault="00B130F2" w:rsidP="00B130F2">
      <w:pPr>
        <w:spacing w:before="180"/>
        <w:rPr>
          <w:rFonts w:cs="Arial"/>
          <w:b/>
          <w:sz w:val="32"/>
          <w:szCs w:val="32"/>
        </w:rPr>
      </w:pPr>
      <w:r w:rsidRPr="009B7846">
        <w:rPr>
          <w:rFonts w:cs="Arial"/>
          <w:b/>
          <w:sz w:val="32"/>
          <w:szCs w:val="32"/>
        </w:rPr>
        <w:t>Relevant Procedures</w:t>
      </w:r>
    </w:p>
    <w:p w14:paraId="4E0840F5" w14:textId="77777777" w:rsidR="00B130F2" w:rsidRPr="00A94CDB" w:rsidRDefault="00B130F2" w:rsidP="00B130F2">
      <w:pPr>
        <w:spacing w:before="180"/>
        <w:rPr>
          <w:rFonts w:cs="Arial"/>
          <w:color w:val="808080" w:themeColor="background1" w:themeShade="80"/>
          <w:szCs w:val="20"/>
        </w:rPr>
      </w:pPr>
      <w:r w:rsidRPr="00A94CDB">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4E0840F6" w14:textId="77777777" w:rsidR="00B130F2" w:rsidRPr="00A94CDB" w:rsidRDefault="00B130F2" w:rsidP="00EB3236">
      <w:pPr>
        <w:rPr>
          <w:rFonts w:cs="Arial"/>
          <w:color w:val="808080" w:themeColor="background1" w:themeShade="80"/>
          <w:szCs w:val="20"/>
        </w:rPr>
      </w:pPr>
    </w:p>
    <w:p w14:paraId="4E0840F7" w14:textId="77777777" w:rsidR="00B130F2" w:rsidRPr="00A94CDB" w:rsidRDefault="00B130F2" w:rsidP="00EB3236">
      <w:pPr>
        <w:rPr>
          <w:rFonts w:cs="Arial"/>
          <w:color w:val="808080" w:themeColor="background1" w:themeShade="80"/>
          <w:szCs w:val="20"/>
        </w:rPr>
      </w:pPr>
    </w:p>
    <w:p w14:paraId="4E0840F8" w14:textId="77777777" w:rsidR="00EB3236" w:rsidRPr="00A94CDB" w:rsidRDefault="00EB3236" w:rsidP="00EB3236">
      <w:pPr>
        <w:rPr>
          <w:rFonts w:cs="Arial"/>
          <w:b/>
          <w:color w:val="808080" w:themeColor="background1" w:themeShade="80"/>
          <w:szCs w:val="20"/>
        </w:rPr>
      </w:pPr>
      <w:r w:rsidRPr="00A94CDB">
        <w:rPr>
          <w:rFonts w:cs="Arial"/>
          <w:color w:val="808080" w:themeColor="background1" w:themeShade="80"/>
          <w:szCs w:val="20"/>
        </w:rPr>
        <w:t>Determine the amount and nature of risk to which a system is exposed:</w:t>
      </w:r>
    </w:p>
    <w:p w14:paraId="4E0840F9" w14:textId="77777777" w:rsidR="00EB3236" w:rsidRPr="00A94CDB" w:rsidRDefault="00EB3236" w:rsidP="00EB3236">
      <w:pPr>
        <w:numPr>
          <w:ilvl w:val="4"/>
          <w:numId w:val="9"/>
        </w:numPr>
        <w:tabs>
          <w:tab w:val="clear" w:pos="3240"/>
        </w:tabs>
        <w:ind w:left="714"/>
        <w:rPr>
          <w:rFonts w:cs="Arial"/>
          <w:color w:val="808080" w:themeColor="background1" w:themeShade="80"/>
          <w:szCs w:val="20"/>
        </w:rPr>
      </w:pPr>
      <w:r w:rsidRPr="00A94CDB">
        <w:rPr>
          <w:rFonts w:cs="Arial"/>
          <w:color w:val="808080" w:themeColor="background1" w:themeShade="80"/>
          <w:szCs w:val="20"/>
        </w:rPr>
        <w:t>Collect and document the information that defines the system.</w:t>
      </w:r>
    </w:p>
    <w:p w14:paraId="4E0840FA" w14:textId="77777777" w:rsidR="00EB3236" w:rsidRPr="00A94CDB" w:rsidRDefault="00EB3236" w:rsidP="00EB3236">
      <w:pPr>
        <w:numPr>
          <w:ilvl w:val="4"/>
          <w:numId w:val="9"/>
        </w:numPr>
        <w:tabs>
          <w:tab w:val="clear" w:pos="3240"/>
        </w:tabs>
        <w:ind w:left="714"/>
        <w:rPr>
          <w:rFonts w:cs="Arial"/>
          <w:color w:val="808080" w:themeColor="background1" w:themeShade="80"/>
          <w:szCs w:val="20"/>
        </w:rPr>
      </w:pPr>
      <w:r w:rsidRPr="00A94CDB">
        <w:rPr>
          <w:rFonts w:cs="Arial"/>
          <w:color w:val="808080" w:themeColor="background1" w:themeShade="80"/>
          <w:szCs w:val="20"/>
        </w:rPr>
        <w:t>Identify and document all potential sources of threat to which the system could be exposed and, for those threats, identify and document all potential vulnerabilities:</w:t>
      </w:r>
    </w:p>
    <w:p w14:paraId="4E0840FB"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 xml:space="preserve">Use vulnerability sources such as the </w:t>
      </w:r>
      <w:hyperlink r:id="rId10" w:history="1">
        <w:r w:rsidRPr="00A94CDB">
          <w:rPr>
            <w:rStyle w:val="Hyperlink"/>
            <w:rFonts w:cs="Arial"/>
            <w:i/>
            <w:color w:val="808080" w:themeColor="background1" w:themeShade="80"/>
            <w:szCs w:val="20"/>
          </w:rPr>
          <w:t>National Vulnerability Database</w:t>
        </w:r>
      </w:hyperlink>
      <w:r w:rsidRPr="00A94CDB">
        <w:rPr>
          <w:rFonts w:cs="Arial"/>
          <w:i/>
          <w:color w:val="808080" w:themeColor="background1" w:themeShade="80"/>
          <w:szCs w:val="20"/>
        </w:rPr>
        <w:t>.</w:t>
      </w:r>
    </w:p>
    <w:p w14:paraId="4E0840FC"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Use outputs from System Security Tests.</w:t>
      </w:r>
    </w:p>
    <w:p w14:paraId="4E0840FD" w14:textId="77777777" w:rsidR="00EB3236" w:rsidRPr="00A94CDB" w:rsidRDefault="00EB3236" w:rsidP="00EB3236">
      <w:pPr>
        <w:numPr>
          <w:ilvl w:val="4"/>
          <w:numId w:val="9"/>
        </w:numPr>
        <w:tabs>
          <w:tab w:val="clear" w:pos="3240"/>
        </w:tabs>
        <w:ind w:left="714"/>
        <w:rPr>
          <w:rFonts w:cs="Arial"/>
          <w:color w:val="808080" w:themeColor="background1" w:themeShade="80"/>
          <w:szCs w:val="20"/>
        </w:rPr>
      </w:pPr>
      <w:r w:rsidRPr="00A94CDB">
        <w:rPr>
          <w:rFonts w:cs="Arial"/>
          <w:color w:val="808080" w:themeColor="background1" w:themeShade="80"/>
          <w:szCs w:val="20"/>
        </w:rPr>
        <w:t>Identify and document all implemented controls that are intended to have a mitigating effect on threats and vulnerabilities:</w:t>
      </w:r>
    </w:p>
    <w:p w14:paraId="4E0840FE" w14:textId="77777777" w:rsidR="00EB3236" w:rsidRPr="00A94CDB" w:rsidRDefault="00EB3236" w:rsidP="00EB3236">
      <w:pPr>
        <w:numPr>
          <w:ilvl w:val="5"/>
          <w:numId w:val="9"/>
        </w:numPr>
        <w:tabs>
          <w:tab w:val="clear" w:pos="3960"/>
          <w:tab w:val="left" w:pos="1440"/>
        </w:tabs>
        <w:ind w:left="1440"/>
        <w:rPr>
          <w:rFonts w:cs="Arial"/>
          <w:i/>
          <w:color w:val="808080" w:themeColor="background1" w:themeShade="80"/>
          <w:szCs w:val="20"/>
        </w:rPr>
      </w:pPr>
      <w:r w:rsidRPr="00A94CDB">
        <w:rPr>
          <w:rFonts w:cs="Arial"/>
          <w:i/>
          <w:color w:val="808080" w:themeColor="background1" w:themeShade="80"/>
          <w:szCs w:val="20"/>
        </w:rPr>
        <w:t>Evaluate both Technical (access control systems, firewalls, etc.) and Non-Technical (policies and procedures) controls.</w:t>
      </w:r>
    </w:p>
    <w:p w14:paraId="4E0840FF" w14:textId="77777777" w:rsidR="00EB3236" w:rsidRPr="00A94CDB" w:rsidRDefault="00EB3236" w:rsidP="00EB3236">
      <w:pPr>
        <w:numPr>
          <w:ilvl w:val="5"/>
          <w:numId w:val="9"/>
        </w:numPr>
        <w:tabs>
          <w:tab w:val="clear" w:pos="3960"/>
          <w:tab w:val="left" w:pos="1440"/>
        </w:tabs>
        <w:ind w:left="1440"/>
        <w:rPr>
          <w:rFonts w:cs="Arial"/>
          <w:i/>
          <w:color w:val="808080" w:themeColor="background1" w:themeShade="80"/>
          <w:szCs w:val="20"/>
        </w:rPr>
      </w:pPr>
      <w:r w:rsidRPr="00A94CDB">
        <w:rPr>
          <w:rFonts w:cs="Arial"/>
          <w:i/>
          <w:color w:val="808080" w:themeColor="background1" w:themeShade="80"/>
          <w:szCs w:val="20"/>
        </w:rPr>
        <w:t>Evaluate both Detective (those that warn of violations) and Preventative (those that inhibit violations) controls.</w:t>
      </w:r>
    </w:p>
    <w:p w14:paraId="4E084100" w14:textId="77777777" w:rsidR="00EB3236" w:rsidRPr="00A94CDB" w:rsidRDefault="00EB3236" w:rsidP="00EB3236">
      <w:pPr>
        <w:numPr>
          <w:ilvl w:val="4"/>
          <w:numId w:val="9"/>
        </w:numPr>
        <w:tabs>
          <w:tab w:val="clear" w:pos="3240"/>
        </w:tabs>
        <w:ind w:left="714"/>
        <w:rPr>
          <w:rFonts w:cs="Arial"/>
          <w:color w:val="808080" w:themeColor="background1" w:themeShade="80"/>
          <w:szCs w:val="20"/>
        </w:rPr>
      </w:pPr>
      <w:r w:rsidRPr="00A94CDB">
        <w:rPr>
          <w:rFonts w:cs="Arial"/>
          <w:color w:val="808080" w:themeColor="background1" w:themeShade="80"/>
          <w:szCs w:val="20"/>
        </w:rPr>
        <w:t>Estimate the likelihood that a particular vulnerability will occur in the face of controls that may be in place to mitigate it:</w:t>
      </w:r>
    </w:p>
    <w:p w14:paraId="4E084101"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High likelihood indicates the threat-source is motivated and capable and controls are insufficient or ineffective.</w:t>
      </w:r>
    </w:p>
    <w:p w14:paraId="4E084102"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Medium likelihood indicates the threat-source is motivated and capable but that controls may be sufficient and effective.</w:t>
      </w:r>
    </w:p>
    <w:p w14:paraId="4E084103" w14:textId="06D85191"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Low lik</w:t>
      </w:r>
      <w:r w:rsidR="00034A4E">
        <w:rPr>
          <w:rFonts w:cs="Arial"/>
          <w:i/>
          <w:color w:val="808080" w:themeColor="background1" w:themeShade="80"/>
          <w:szCs w:val="20"/>
        </w:rPr>
        <w:t>elihood indicates the threat</w:t>
      </w:r>
      <w:r w:rsidRPr="00A94CDB">
        <w:rPr>
          <w:rFonts w:cs="Arial"/>
          <w:i/>
          <w:color w:val="808080" w:themeColor="background1" w:themeShade="80"/>
          <w:szCs w:val="20"/>
        </w:rPr>
        <w:t xml:space="preserve">-source is motivated and capable but that controls are sufficient and effective </w:t>
      </w:r>
      <w:r w:rsidRPr="00A94CDB">
        <w:rPr>
          <w:rFonts w:cs="Arial"/>
          <w:b/>
          <w:i/>
          <w:color w:val="808080" w:themeColor="background1" w:themeShade="80"/>
          <w:szCs w:val="20"/>
        </w:rPr>
        <w:t>OR</w:t>
      </w:r>
      <w:r w:rsidRPr="00A94CDB">
        <w:rPr>
          <w:rFonts w:cs="Arial"/>
          <w:i/>
          <w:color w:val="808080" w:themeColor="background1" w:themeShade="80"/>
          <w:szCs w:val="20"/>
        </w:rPr>
        <w:t xml:space="preserve"> the threat-source is unmotivated or incapable.</w:t>
      </w:r>
    </w:p>
    <w:p w14:paraId="4E084104" w14:textId="77777777" w:rsidR="00EB3236" w:rsidRPr="00A94CDB" w:rsidRDefault="00EB3236" w:rsidP="00EB3236">
      <w:pPr>
        <w:numPr>
          <w:ilvl w:val="4"/>
          <w:numId w:val="9"/>
        </w:numPr>
        <w:tabs>
          <w:tab w:val="clear" w:pos="3240"/>
        </w:tabs>
        <w:ind w:left="714"/>
        <w:rPr>
          <w:rFonts w:cs="Arial"/>
          <w:color w:val="808080" w:themeColor="background1" w:themeShade="80"/>
          <w:szCs w:val="20"/>
        </w:rPr>
      </w:pPr>
      <w:r w:rsidRPr="00A94CDB">
        <w:rPr>
          <w:rFonts w:cs="Arial"/>
          <w:color w:val="808080" w:themeColor="background1" w:themeShade="80"/>
          <w:szCs w:val="20"/>
        </w:rPr>
        <w:t>Estimate the impact that a particular vulnerability will have if exercised in the face of controls that may be in place to mitigate it:</w:t>
      </w:r>
    </w:p>
    <w:p w14:paraId="4E084105"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High impact indicates significant loss of assets or resources, significant damage to the organizational mission, or serious human injury or death.</w:t>
      </w:r>
    </w:p>
    <w:p w14:paraId="4E084106"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Medium impact indicates moderate loss of assets or resources, moderate damage to the organizational mission, or human injury.</w:t>
      </w:r>
    </w:p>
    <w:p w14:paraId="4E084107"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 xml:space="preserve">Low impact indicates minimal loss of assets or </w:t>
      </w:r>
      <w:r w:rsidR="00923738" w:rsidRPr="00A94CDB">
        <w:rPr>
          <w:rFonts w:cs="Arial"/>
          <w:i/>
          <w:color w:val="808080" w:themeColor="background1" w:themeShade="80"/>
          <w:szCs w:val="20"/>
        </w:rPr>
        <w:t>resources</w:t>
      </w:r>
      <w:r w:rsidRPr="00A94CDB">
        <w:rPr>
          <w:rFonts w:cs="Arial"/>
          <w:i/>
          <w:color w:val="808080" w:themeColor="background1" w:themeShade="80"/>
          <w:szCs w:val="20"/>
        </w:rPr>
        <w:t xml:space="preserve"> or minimal damage to the organizational mission.</w:t>
      </w:r>
    </w:p>
    <w:p w14:paraId="4E084108" w14:textId="15175E25" w:rsidR="00EB3236" w:rsidRPr="00A94CDB" w:rsidRDefault="00EB3236" w:rsidP="00EB3236">
      <w:pPr>
        <w:numPr>
          <w:ilvl w:val="4"/>
          <w:numId w:val="9"/>
        </w:numPr>
        <w:tabs>
          <w:tab w:val="clear" w:pos="3240"/>
        </w:tabs>
        <w:ind w:left="714"/>
        <w:rPr>
          <w:rFonts w:cs="Arial"/>
          <w:color w:val="808080" w:themeColor="background1" w:themeShade="80"/>
          <w:szCs w:val="20"/>
        </w:rPr>
      </w:pPr>
      <w:proofErr w:type="gramStart"/>
      <w:r w:rsidRPr="00A94CDB">
        <w:rPr>
          <w:rFonts w:cs="Arial"/>
          <w:color w:val="808080" w:themeColor="background1" w:themeShade="80"/>
          <w:szCs w:val="20"/>
        </w:rPr>
        <w:t>Cross reference</w:t>
      </w:r>
      <w:proofErr w:type="gramEnd"/>
      <w:r w:rsidRPr="00A94CDB">
        <w:rPr>
          <w:rFonts w:cs="Arial"/>
          <w:color w:val="808080" w:themeColor="background1" w:themeShade="80"/>
          <w:szCs w:val="20"/>
        </w:rPr>
        <w:t xml:space="preserve"> the determined likelihood with the determined impact to </w:t>
      </w:r>
      <w:r w:rsidR="00034A4E" w:rsidRPr="00A94CDB">
        <w:rPr>
          <w:rFonts w:cs="Arial"/>
          <w:color w:val="808080" w:themeColor="background1" w:themeShade="80"/>
          <w:szCs w:val="20"/>
        </w:rPr>
        <w:t>define</w:t>
      </w:r>
      <w:r w:rsidRPr="00A94CDB">
        <w:rPr>
          <w:rFonts w:cs="Arial"/>
          <w:color w:val="808080" w:themeColor="background1" w:themeShade="80"/>
          <w:szCs w:val="20"/>
        </w:rPr>
        <w:t xml:space="preserve"> the overall risk of each vulnerability. Decide if the risk level is to be accepted and, if not, to what degree it is to be mitigated:</w:t>
      </w:r>
    </w:p>
    <w:p w14:paraId="4E084109"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bookmarkStart w:id="0" w:name="OLE_LINK7"/>
      <w:bookmarkStart w:id="1" w:name="OLE_LINK8"/>
      <w:r w:rsidRPr="00A94CDB">
        <w:rPr>
          <w:rFonts w:cs="Arial"/>
          <w:i/>
          <w:color w:val="808080" w:themeColor="background1" w:themeShade="80"/>
          <w:szCs w:val="20"/>
        </w:rPr>
        <w:t>Very High risk constitutes high likelihood and high impact. Risks of this nature have the strongest need for corrective action and resolution should be considered an emergency action and undertaken immediately.</w:t>
      </w:r>
    </w:p>
    <w:p w14:paraId="4E08410A"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High risk constitutes high likelihood and medium impact or medium likelihood and high impact. Risks of this nature have a strong need for corrective action and a corrective response plan must be developed and put in place within 30 days.</w:t>
      </w:r>
    </w:p>
    <w:p w14:paraId="4E08410B" w14:textId="3C8373FA"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Medium risk constitutes high likelihood and low impact, low likelihood and high impact</w:t>
      </w:r>
      <w:r w:rsidR="00034A4E">
        <w:rPr>
          <w:rFonts w:cs="Arial"/>
          <w:i/>
          <w:color w:val="808080" w:themeColor="background1" w:themeShade="80"/>
          <w:szCs w:val="20"/>
        </w:rPr>
        <w:t>,</w:t>
      </w:r>
      <w:r w:rsidRPr="00A94CDB">
        <w:rPr>
          <w:rFonts w:cs="Arial"/>
          <w:i/>
          <w:color w:val="808080" w:themeColor="background1" w:themeShade="80"/>
          <w:szCs w:val="20"/>
        </w:rPr>
        <w:t xml:space="preserve"> or medium likelihood and medium impact. Risks of this nature have a moderate need for corrective action and a corrective response plan must be developed and put in place within 90 days.</w:t>
      </w:r>
    </w:p>
    <w:p w14:paraId="4E08410C"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Low risk constitutes medium likelihood and low impact or low likelihood and medium impact. Risks of this nature have a low need for corrective action and a corrective response plan must be developed and put in place within 180 days.</w:t>
      </w:r>
    </w:p>
    <w:p w14:paraId="4E08410D" w14:textId="7C217EC1"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lastRenderedPageBreak/>
        <w:t>Very Low risk constitutes low likelihood and low impact. Risk of this nature can be considered negligible and no corrective response plan is required</w:t>
      </w:r>
      <w:r w:rsidR="00034A4E">
        <w:rPr>
          <w:rFonts w:cs="Arial"/>
          <w:i/>
          <w:color w:val="808080" w:themeColor="background1" w:themeShade="80"/>
          <w:szCs w:val="20"/>
        </w:rPr>
        <w:t>. H</w:t>
      </w:r>
      <w:r w:rsidRPr="00A94CDB">
        <w:rPr>
          <w:rFonts w:cs="Arial"/>
          <w:i/>
          <w:color w:val="808080" w:themeColor="background1" w:themeShade="80"/>
          <w:szCs w:val="20"/>
        </w:rPr>
        <w:t>owever</w:t>
      </w:r>
      <w:r w:rsidR="00034A4E">
        <w:rPr>
          <w:rFonts w:cs="Arial"/>
          <w:i/>
          <w:color w:val="808080" w:themeColor="background1" w:themeShade="80"/>
          <w:szCs w:val="20"/>
        </w:rPr>
        <w:t>,</w:t>
      </w:r>
      <w:r w:rsidRPr="00A94CDB">
        <w:rPr>
          <w:rFonts w:cs="Arial"/>
          <w:i/>
          <w:color w:val="808080" w:themeColor="background1" w:themeShade="80"/>
          <w:szCs w:val="20"/>
        </w:rPr>
        <w:t xml:space="preserve"> the risk should be reassessed annually to determine if the risk level has been elevated.</w:t>
      </w:r>
      <w:bookmarkEnd w:id="0"/>
      <w:bookmarkEnd w:id="1"/>
    </w:p>
    <w:p w14:paraId="4E08410E" w14:textId="77777777" w:rsidR="00EB3236" w:rsidRPr="00A94CDB" w:rsidRDefault="00EB3236" w:rsidP="00EB3236">
      <w:pPr>
        <w:numPr>
          <w:ilvl w:val="4"/>
          <w:numId w:val="9"/>
        </w:numPr>
        <w:tabs>
          <w:tab w:val="clear" w:pos="3240"/>
        </w:tabs>
        <w:ind w:left="714"/>
        <w:rPr>
          <w:rFonts w:cs="Arial"/>
          <w:color w:val="808080" w:themeColor="background1" w:themeShade="80"/>
          <w:szCs w:val="20"/>
        </w:rPr>
      </w:pPr>
      <w:r w:rsidRPr="00A94CDB">
        <w:rPr>
          <w:rFonts w:cs="Arial"/>
          <w:color w:val="808080" w:themeColor="background1" w:themeShade="80"/>
          <w:szCs w:val="20"/>
        </w:rPr>
        <w:t>Identify and evaluate additional controls that will reduce the identified risk to acceptable levels:</w:t>
      </w:r>
    </w:p>
    <w:p w14:paraId="4E08410F"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Evaluate both Technical (access control systems, firewalls, etc.) and Non-Technical (policies and procedures) controls.</w:t>
      </w:r>
    </w:p>
    <w:p w14:paraId="4E084110"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Evaluate both Detective (those that warn of violations) and Preventative (those that inhibit violations) controls.</w:t>
      </w:r>
    </w:p>
    <w:p w14:paraId="4E084111" w14:textId="77777777" w:rsidR="00EB3236" w:rsidRPr="00A94CDB" w:rsidRDefault="00EB3236" w:rsidP="00EB3236">
      <w:pPr>
        <w:numPr>
          <w:ilvl w:val="5"/>
          <w:numId w:val="9"/>
        </w:numPr>
        <w:tabs>
          <w:tab w:val="clear" w:pos="3960"/>
        </w:tabs>
        <w:ind w:left="1440"/>
        <w:rPr>
          <w:rFonts w:cs="Arial"/>
          <w:i/>
          <w:color w:val="808080" w:themeColor="background1" w:themeShade="80"/>
          <w:szCs w:val="20"/>
        </w:rPr>
      </w:pPr>
      <w:r w:rsidRPr="00A94CDB">
        <w:rPr>
          <w:rFonts w:cs="Arial"/>
          <w:i/>
          <w:color w:val="808080" w:themeColor="background1" w:themeShade="80"/>
          <w:szCs w:val="20"/>
        </w:rPr>
        <w:t>Perform a cost-benefit analysis for each control to narrow the selection of controls to those that mitigate risk cost effectively.</w:t>
      </w:r>
    </w:p>
    <w:p w14:paraId="4E084112" w14:textId="77777777" w:rsidR="00AA6841" w:rsidRPr="00A94CDB" w:rsidRDefault="00AA6841" w:rsidP="00EB3236">
      <w:pPr>
        <w:pStyle w:val="ListNumber"/>
        <w:numPr>
          <w:ilvl w:val="0"/>
          <w:numId w:val="0"/>
        </w:numPr>
        <w:tabs>
          <w:tab w:val="clear" w:pos="360"/>
        </w:tabs>
        <w:ind w:left="720"/>
        <w:rPr>
          <w:rFonts w:ascii="Arial" w:hAnsi="Arial" w:cs="Arial"/>
          <w:color w:val="000000" w:themeColor="text1"/>
        </w:rPr>
      </w:pPr>
    </w:p>
    <w:p w14:paraId="4E084113" w14:textId="77777777" w:rsidR="00B502A4" w:rsidRPr="00A94CDB" w:rsidRDefault="00B502A4" w:rsidP="00B502A4">
      <w:pPr>
        <w:pStyle w:val="Heading1"/>
      </w:pPr>
      <w:r w:rsidRPr="00A94CDB">
        <w:t>Non-Compliance</w:t>
      </w:r>
    </w:p>
    <w:p w14:paraId="4E084114" w14:textId="77777777" w:rsidR="00AA6841" w:rsidRPr="00A94CDB" w:rsidRDefault="00AA6841" w:rsidP="00AA6841">
      <w:pPr>
        <w:rPr>
          <w:rFonts w:cs="Arial"/>
          <w:color w:val="808080"/>
        </w:rPr>
      </w:pPr>
      <w:r w:rsidRPr="00A94CDB">
        <w:rPr>
          <w:rFonts w:cs="Arial"/>
          <w:color w:val="808080"/>
        </w:rPr>
        <w:t>Clearly describe consequences (legal and/or disciplinary) for employee non-compliance with the policy. It may be pertinent to describe the escalation process for repeated non-compliance.</w:t>
      </w:r>
    </w:p>
    <w:p w14:paraId="4E084115" w14:textId="77777777" w:rsidR="00B502A4" w:rsidRPr="00A94CDB" w:rsidRDefault="00B502A4" w:rsidP="00E64679">
      <w:pPr>
        <w:rPr>
          <w:rFonts w:cs="Arial"/>
        </w:rPr>
      </w:pPr>
    </w:p>
    <w:p w14:paraId="4E084116" w14:textId="6114B4E9" w:rsidR="00AA6841" w:rsidRPr="00A94CDB" w:rsidRDefault="00AA6841" w:rsidP="00AA6841">
      <w:pPr>
        <w:rPr>
          <w:rFonts w:cs="Arial"/>
          <w:color w:val="000000" w:themeColor="text1"/>
        </w:rPr>
      </w:pPr>
      <w:r w:rsidRPr="00A94CDB">
        <w:rPr>
          <w:rFonts w:cs="Arial"/>
          <w:color w:val="000000" w:themeColor="text1"/>
        </w:rPr>
        <w:t xml:space="preserve">Violations of this policy will be treated like other allegations of wrongdoing at </w:t>
      </w:r>
      <w:r w:rsidRPr="00A94CDB">
        <w:rPr>
          <w:rFonts w:cs="Arial"/>
          <w:color w:val="A6A6A6" w:themeColor="background1" w:themeShade="A6"/>
        </w:rPr>
        <w:t>[</w:t>
      </w:r>
      <w:r w:rsidR="00034A4E">
        <w:rPr>
          <w:rFonts w:cs="Arial"/>
          <w:color w:val="A6A6A6" w:themeColor="background1" w:themeShade="A6"/>
        </w:rPr>
        <w:t>Company Name</w:t>
      </w:r>
      <w:r w:rsidRPr="00A94CDB">
        <w:rPr>
          <w:rFonts w:cs="Arial"/>
          <w:color w:val="A6A6A6" w:themeColor="background1" w:themeShade="A6"/>
        </w:rPr>
        <w:t>]</w:t>
      </w:r>
      <w:r w:rsidRPr="00A94CDB">
        <w:rPr>
          <w:rFonts w:cs="Arial"/>
          <w:color w:val="000000" w:themeColor="text1"/>
        </w:rPr>
        <w:t>. Allegations of misconduct will be adjudicated according to established procedures. Sanctions for non-compliance may include, but are not limited to, one or more of the following:</w:t>
      </w:r>
    </w:p>
    <w:p w14:paraId="4E084117" w14:textId="77777777" w:rsidR="00EB3236" w:rsidRPr="00A94CDB" w:rsidRDefault="00EB3236" w:rsidP="00AA6841">
      <w:pPr>
        <w:rPr>
          <w:rFonts w:cs="Arial"/>
          <w:color w:val="000000" w:themeColor="text1"/>
        </w:rPr>
      </w:pPr>
    </w:p>
    <w:p w14:paraId="4E084118" w14:textId="6257BBF7" w:rsidR="00AA6841" w:rsidRPr="00A94CDB" w:rsidRDefault="00AA6841" w:rsidP="00AA6841">
      <w:pPr>
        <w:pStyle w:val="ListNumber2"/>
        <w:rPr>
          <w:rFonts w:cs="Arial"/>
          <w:color w:val="000000" w:themeColor="text1"/>
        </w:rPr>
      </w:pPr>
      <w:r w:rsidRPr="00A94CDB">
        <w:rPr>
          <w:rFonts w:cs="Arial"/>
          <w:color w:val="000000" w:themeColor="text1"/>
        </w:rPr>
        <w:t xml:space="preserve">Disciplinary action according to applicable </w:t>
      </w:r>
      <w:r w:rsidRPr="00A94CDB">
        <w:rPr>
          <w:rFonts w:cs="Arial"/>
          <w:color w:val="A6A6A6" w:themeColor="background1" w:themeShade="A6"/>
        </w:rPr>
        <w:t>[</w:t>
      </w:r>
      <w:r w:rsidR="00034A4E">
        <w:rPr>
          <w:rFonts w:cs="Arial"/>
          <w:color w:val="A6A6A6" w:themeColor="background1" w:themeShade="A6"/>
        </w:rPr>
        <w:t>Company Name</w:t>
      </w:r>
      <w:r w:rsidRPr="00A94CDB">
        <w:rPr>
          <w:rFonts w:cs="Arial"/>
          <w:color w:val="A6A6A6" w:themeColor="background1" w:themeShade="A6"/>
        </w:rPr>
        <w:t xml:space="preserve">] </w:t>
      </w:r>
      <w:r w:rsidRPr="00A94CDB">
        <w:rPr>
          <w:rFonts w:cs="Arial"/>
          <w:color w:val="000000" w:themeColor="text1"/>
        </w:rPr>
        <w:t xml:space="preserve">policies; </w:t>
      </w:r>
    </w:p>
    <w:p w14:paraId="4E084119" w14:textId="77777777" w:rsidR="00AA6841" w:rsidRPr="00A94CDB" w:rsidRDefault="00AA6841" w:rsidP="00AA6841">
      <w:pPr>
        <w:pStyle w:val="ListNumber2"/>
        <w:rPr>
          <w:rFonts w:cs="Arial"/>
          <w:color w:val="000000" w:themeColor="text1"/>
        </w:rPr>
      </w:pPr>
      <w:r w:rsidRPr="00A94CDB">
        <w:rPr>
          <w:rFonts w:cs="Arial"/>
          <w:color w:val="000000" w:themeColor="text1"/>
        </w:rPr>
        <w:t>Termination of employment; and/or</w:t>
      </w:r>
    </w:p>
    <w:p w14:paraId="4E08411A" w14:textId="77777777" w:rsidR="00AA6841" w:rsidRPr="00A94CDB" w:rsidRDefault="00AA6841" w:rsidP="00AA6841">
      <w:pPr>
        <w:pStyle w:val="ListNumber2"/>
        <w:rPr>
          <w:rFonts w:cs="Arial"/>
          <w:color w:val="000000" w:themeColor="text1"/>
        </w:rPr>
      </w:pPr>
      <w:r w:rsidRPr="00A94CDB">
        <w:rPr>
          <w:rFonts w:cs="Arial"/>
          <w:color w:val="000000" w:themeColor="text1"/>
        </w:rPr>
        <w:t>Legal action according to applicable laws and contractual agreements.</w:t>
      </w:r>
    </w:p>
    <w:p w14:paraId="4E08411B" w14:textId="77777777" w:rsidR="00AA6841" w:rsidRPr="00A94CDB" w:rsidRDefault="00AA6841" w:rsidP="00E64679">
      <w:pPr>
        <w:rPr>
          <w:rFonts w:cs="Arial"/>
        </w:rPr>
      </w:pPr>
    </w:p>
    <w:p w14:paraId="4E08411C" w14:textId="77777777" w:rsidR="00AA6841" w:rsidRPr="00A94CDB" w:rsidRDefault="00AA6841" w:rsidP="00E64679">
      <w:pPr>
        <w:rPr>
          <w:rFonts w:cs="Arial"/>
        </w:rPr>
      </w:pPr>
    </w:p>
    <w:p w14:paraId="4E08412A" w14:textId="77777777" w:rsidR="00B502A4" w:rsidRPr="00A94CDB" w:rsidRDefault="00B502A4">
      <w:pPr>
        <w:rPr>
          <w:rFonts w:cs="Arial"/>
          <w:color w:val="808080"/>
        </w:rPr>
      </w:pPr>
      <w:bookmarkStart w:id="2" w:name="_GoBack"/>
      <w:bookmarkEnd w:id="2"/>
    </w:p>
    <w:sectPr w:rsidR="00B502A4" w:rsidRPr="00A94CDB" w:rsidSect="00D3463A">
      <w:headerReference w:type="default" r:id="rId11"/>
      <w:pgSz w:w="12240" w:h="15840"/>
      <w:pgMar w:top="426"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C7781" w14:textId="77777777" w:rsidR="001457EC" w:rsidRDefault="001457EC">
      <w:r>
        <w:separator/>
      </w:r>
    </w:p>
  </w:endnote>
  <w:endnote w:type="continuationSeparator" w:id="0">
    <w:p w14:paraId="7A1908E4" w14:textId="77777777" w:rsidR="001457EC" w:rsidRDefault="0014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71D2" w14:textId="77777777" w:rsidR="001457EC" w:rsidRDefault="001457EC">
      <w:r>
        <w:separator/>
      </w:r>
    </w:p>
  </w:footnote>
  <w:footnote w:type="continuationSeparator" w:id="0">
    <w:p w14:paraId="4BA0E002" w14:textId="77777777" w:rsidR="001457EC" w:rsidRDefault="00145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4155" w14:textId="569B009E"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D371A4C"/>
    <w:multiLevelType w:val="hybridMultilevel"/>
    <w:tmpl w:val="FA401C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7B24BE2"/>
    <w:multiLevelType w:val="hybridMultilevel"/>
    <w:tmpl w:val="DCE86E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7E3920"/>
    <w:multiLevelType w:val="hybridMultilevel"/>
    <w:tmpl w:val="83B2E1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35663609"/>
    <w:multiLevelType w:val="hybridMultilevel"/>
    <w:tmpl w:val="55FE47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DBB6E29"/>
    <w:multiLevelType w:val="hybridMultilevel"/>
    <w:tmpl w:val="DE90EA6E"/>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C56750"/>
    <w:multiLevelType w:val="multilevel"/>
    <w:tmpl w:val="C2385E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62B2D2A"/>
    <w:multiLevelType w:val="hybridMultilevel"/>
    <w:tmpl w:val="9C2232B6"/>
    <w:lvl w:ilvl="0" w:tplc="10090001">
      <w:start w:val="1"/>
      <w:numFmt w:val="bullet"/>
      <w:lvlText w:val=""/>
      <w:lvlJc w:val="left"/>
      <w:pPr>
        <w:ind w:left="888" w:hanging="360"/>
      </w:pPr>
      <w:rPr>
        <w:rFonts w:ascii="Symbol" w:hAnsi="Symbol" w:hint="default"/>
      </w:rPr>
    </w:lvl>
    <w:lvl w:ilvl="1" w:tplc="10090003" w:tentative="1">
      <w:start w:val="1"/>
      <w:numFmt w:val="bullet"/>
      <w:lvlText w:val="o"/>
      <w:lvlJc w:val="left"/>
      <w:pPr>
        <w:ind w:left="1608" w:hanging="360"/>
      </w:pPr>
      <w:rPr>
        <w:rFonts w:ascii="Courier New" w:hAnsi="Courier New" w:cs="Courier New" w:hint="default"/>
      </w:rPr>
    </w:lvl>
    <w:lvl w:ilvl="2" w:tplc="10090005" w:tentative="1">
      <w:start w:val="1"/>
      <w:numFmt w:val="bullet"/>
      <w:lvlText w:val=""/>
      <w:lvlJc w:val="left"/>
      <w:pPr>
        <w:ind w:left="2328" w:hanging="360"/>
      </w:pPr>
      <w:rPr>
        <w:rFonts w:ascii="Wingdings" w:hAnsi="Wingdings" w:hint="default"/>
      </w:rPr>
    </w:lvl>
    <w:lvl w:ilvl="3" w:tplc="10090001" w:tentative="1">
      <w:start w:val="1"/>
      <w:numFmt w:val="bullet"/>
      <w:lvlText w:val=""/>
      <w:lvlJc w:val="left"/>
      <w:pPr>
        <w:ind w:left="3048" w:hanging="360"/>
      </w:pPr>
      <w:rPr>
        <w:rFonts w:ascii="Symbol" w:hAnsi="Symbol" w:hint="default"/>
      </w:rPr>
    </w:lvl>
    <w:lvl w:ilvl="4" w:tplc="10090003" w:tentative="1">
      <w:start w:val="1"/>
      <w:numFmt w:val="bullet"/>
      <w:lvlText w:val="o"/>
      <w:lvlJc w:val="left"/>
      <w:pPr>
        <w:ind w:left="3768" w:hanging="360"/>
      </w:pPr>
      <w:rPr>
        <w:rFonts w:ascii="Courier New" w:hAnsi="Courier New" w:cs="Courier New" w:hint="default"/>
      </w:rPr>
    </w:lvl>
    <w:lvl w:ilvl="5" w:tplc="10090005" w:tentative="1">
      <w:start w:val="1"/>
      <w:numFmt w:val="bullet"/>
      <w:lvlText w:val=""/>
      <w:lvlJc w:val="left"/>
      <w:pPr>
        <w:ind w:left="4488" w:hanging="360"/>
      </w:pPr>
      <w:rPr>
        <w:rFonts w:ascii="Wingdings" w:hAnsi="Wingdings" w:hint="default"/>
      </w:rPr>
    </w:lvl>
    <w:lvl w:ilvl="6" w:tplc="10090001" w:tentative="1">
      <w:start w:val="1"/>
      <w:numFmt w:val="bullet"/>
      <w:lvlText w:val=""/>
      <w:lvlJc w:val="left"/>
      <w:pPr>
        <w:ind w:left="5208" w:hanging="360"/>
      </w:pPr>
      <w:rPr>
        <w:rFonts w:ascii="Symbol" w:hAnsi="Symbol" w:hint="default"/>
      </w:rPr>
    </w:lvl>
    <w:lvl w:ilvl="7" w:tplc="10090003" w:tentative="1">
      <w:start w:val="1"/>
      <w:numFmt w:val="bullet"/>
      <w:lvlText w:val="o"/>
      <w:lvlJc w:val="left"/>
      <w:pPr>
        <w:ind w:left="5928" w:hanging="360"/>
      </w:pPr>
      <w:rPr>
        <w:rFonts w:ascii="Courier New" w:hAnsi="Courier New" w:cs="Courier New" w:hint="default"/>
      </w:rPr>
    </w:lvl>
    <w:lvl w:ilvl="8" w:tplc="10090005" w:tentative="1">
      <w:start w:val="1"/>
      <w:numFmt w:val="bullet"/>
      <w:lvlText w:val=""/>
      <w:lvlJc w:val="left"/>
      <w:pPr>
        <w:ind w:left="6648" w:hanging="360"/>
      </w:pPr>
      <w:rPr>
        <w:rFonts w:ascii="Wingdings" w:hAnsi="Wingdings" w:hint="default"/>
      </w:rPr>
    </w:lvl>
  </w:abstractNum>
  <w:abstractNum w:abstractNumId="12">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A6A0662"/>
    <w:multiLevelType w:val="hybridMultilevel"/>
    <w:tmpl w:val="15D6FB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D697EDA"/>
    <w:multiLevelType w:val="hybridMultilevel"/>
    <w:tmpl w:val="8836FD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6">
    <w:nsid w:val="5520742E"/>
    <w:multiLevelType w:val="hybridMultilevel"/>
    <w:tmpl w:val="ACA271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AD631B"/>
    <w:multiLevelType w:val="hybridMultilevel"/>
    <w:tmpl w:val="B4CEC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2"/>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
  </w:num>
  <w:num w:numId="9">
    <w:abstractNumId w:val="9"/>
  </w:num>
  <w:num w:numId="10">
    <w:abstractNumId w:val="11"/>
  </w:num>
  <w:num w:numId="11">
    <w:abstractNumId w:val="18"/>
  </w:num>
  <w:num w:numId="12">
    <w:abstractNumId w:val="6"/>
  </w:num>
  <w:num w:numId="13">
    <w:abstractNumId w:val="2"/>
  </w:num>
  <w:num w:numId="14">
    <w:abstractNumId w:val="13"/>
  </w:num>
  <w:num w:numId="15">
    <w:abstractNumId w:val="16"/>
  </w:num>
  <w:num w:numId="16">
    <w:abstractNumId w:val="5"/>
  </w:num>
  <w:num w:numId="17">
    <w:abstractNumId w:val="7"/>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34A4E"/>
    <w:rsid w:val="000B48DB"/>
    <w:rsid w:val="000E6827"/>
    <w:rsid w:val="000F62E3"/>
    <w:rsid w:val="00101A2D"/>
    <w:rsid w:val="001123D5"/>
    <w:rsid w:val="00134035"/>
    <w:rsid w:val="00145681"/>
    <w:rsid w:val="001457EC"/>
    <w:rsid w:val="00186D07"/>
    <w:rsid w:val="001B0ADC"/>
    <w:rsid w:val="001D5C1E"/>
    <w:rsid w:val="00212E88"/>
    <w:rsid w:val="00222174"/>
    <w:rsid w:val="002B5E4F"/>
    <w:rsid w:val="002D034A"/>
    <w:rsid w:val="002D47F6"/>
    <w:rsid w:val="003018D3"/>
    <w:rsid w:val="00303D6C"/>
    <w:rsid w:val="00304E98"/>
    <w:rsid w:val="003331A9"/>
    <w:rsid w:val="003404E3"/>
    <w:rsid w:val="00352A14"/>
    <w:rsid w:val="00354A73"/>
    <w:rsid w:val="003A4C3C"/>
    <w:rsid w:val="003D187A"/>
    <w:rsid w:val="003E4DCA"/>
    <w:rsid w:val="0040187B"/>
    <w:rsid w:val="004307CB"/>
    <w:rsid w:val="00432006"/>
    <w:rsid w:val="004371F3"/>
    <w:rsid w:val="0044200A"/>
    <w:rsid w:val="00480E89"/>
    <w:rsid w:val="004D269E"/>
    <w:rsid w:val="004D32EB"/>
    <w:rsid w:val="005266E7"/>
    <w:rsid w:val="0054288B"/>
    <w:rsid w:val="00572EAF"/>
    <w:rsid w:val="005A3623"/>
    <w:rsid w:val="005B073C"/>
    <w:rsid w:val="00625F64"/>
    <w:rsid w:val="00636CD4"/>
    <w:rsid w:val="0066050C"/>
    <w:rsid w:val="00687F8E"/>
    <w:rsid w:val="006B66A1"/>
    <w:rsid w:val="006C19C9"/>
    <w:rsid w:val="006D629B"/>
    <w:rsid w:val="006F50B5"/>
    <w:rsid w:val="00701BB0"/>
    <w:rsid w:val="0072444D"/>
    <w:rsid w:val="007521AB"/>
    <w:rsid w:val="007547E6"/>
    <w:rsid w:val="007624CE"/>
    <w:rsid w:val="00797D60"/>
    <w:rsid w:val="007A6042"/>
    <w:rsid w:val="007A6EC1"/>
    <w:rsid w:val="007B4ACB"/>
    <w:rsid w:val="007D03A1"/>
    <w:rsid w:val="007D06EE"/>
    <w:rsid w:val="007F767E"/>
    <w:rsid w:val="00804A11"/>
    <w:rsid w:val="0081572D"/>
    <w:rsid w:val="00861438"/>
    <w:rsid w:val="00866FC1"/>
    <w:rsid w:val="008B4684"/>
    <w:rsid w:val="008C5E54"/>
    <w:rsid w:val="008D0C7B"/>
    <w:rsid w:val="008F3CD7"/>
    <w:rsid w:val="009113E0"/>
    <w:rsid w:val="00915C20"/>
    <w:rsid w:val="00923738"/>
    <w:rsid w:val="009420A3"/>
    <w:rsid w:val="009B7846"/>
    <w:rsid w:val="009E43CD"/>
    <w:rsid w:val="00A94CDB"/>
    <w:rsid w:val="00AA6841"/>
    <w:rsid w:val="00AD0BE6"/>
    <w:rsid w:val="00AE32EB"/>
    <w:rsid w:val="00B130F2"/>
    <w:rsid w:val="00B502A4"/>
    <w:rsid w:val="00B77AB1"/>
    <w:rsid w:val="00B8539A"/>
    <w:rsid w:val="00B93EF7"/>
    <w:rsid w:val="00BA5493"/>
    <w:rsid w:val="00BC1B91"/>
    <w:rsid w:val="00C13034"/>
    <w:rsid w:val="00C24557"/>
    <w:rsid w:val="00C81438"/>
    <w:rsid w:val="00C8415D"/>
    <w:rsid w:val="00CA08B6"/>
    <w:rsid w:val="00CB51A4"/>
    <w:rsid w:val="00D020A7"/>
    <w:rsid w:val="00D10F0D"/>
    <w:rsid w:val="00D206DA"/>
    <w:rsid w:val="00D2496C"/>
    <w:rsid w:val="00D27D32"/>
    <w:rsid w:val="00D3463A"/>
    <w:rsid w:val="00DC07B2"/>
    <w:rsid w:val="00DC143E"/>
    <w:rsid w:val="00DC7917"/>
    <w:rsid w:val="00DD068A"/>
    <w:rsid w:val="00DE2AF1"/>
    <w:rsid w:val="00E4093C"/>
    <w:rsid w:val="00E64679"/>
    <w:rsid w:val="00E72B5D"/>
    <w:rsid w:val="00E83C56"/>
    <w:rsid w:val="00EB3236"/>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08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EB3236"/>
    <w:pPr>
      <w:ind w:left="864"/>
    </w:pPr>
    <w:rPr>
      <w:rFonts w:ascii="Calibri" w:hAnsi="Calibri"/>
      <w:sz w:val="24"/>
      <w:szCs w:val="20"/>
      <w:lang w:eastAsia="en-CA"/>
    </w:rPr>
  </w:style>
  <w:style w:type="character" w:styleId="CommentReference">
    <w:name w:val="annotation reference"/>
    <w:basedOn w:val="DefaultParagraphFont"/>
    <w:semiHidden/>
    <w:rsid w:val="00EB3236"/>
    <w:rPr>
      <w:sz w:val="16"/>
      <w:szCs w:val="16"/>
    </w:rPr>
  </w:style>
  <w:style w:type="paragraph" w:customStyle="1" w:styleId="SoKPolicyThirdLevelContent">
    <w:name w:val="SoK Policy Third Level Content"/>
    <w:basedOn w:val="SoKPolicySecondLevelContent"/>
    <w:rsid w:val="00EB3236"/>
    <w:pPr>
      <w:ind w:left="1440"/>
    </w:pPr>
  </w:style>
  <w:style w:type="character" w:styleId="FollowedHyperlink">
    <w:name w:val="FollowedHyperlink"/>
    <w:basedOn w:val="DefaultParagraphFont"/>
    <w:semiHidden/>
    <w:unhideWhenUsed/>
    <w:rsid w:val="009B784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EB3236"/>
    <w:pPr>
      <w:ind w:left="864"/>
    </w:pPr>
    <w:rPr>
      <w:rFonts w:ascii="Calibri" w:hAnsi="Calibri"/>
      <w:sz w:val="24"/>
      <w:szCs w:val="20"/>
      <w:lang w:eastAsia="en-CA"/>
    </w:rPr>
  </w:style>
  <w:style w:type="character" w:styleId="CommentReference">
    <w:name w:val="annotation reference"/>
    <w:basedOn w:val="DefaultParagraphFont"/>
    <w:semiHidden/>
    <w:rsid w:val="00EB3236"/>
    <w:rPr>
      <w:sz w:val="16"/>
      <w:szCs w:val="16"/>
    </w:rPr>
  </w:style>
  <w:style w:type="paragraph" w:customStyle="1" w:styleId="SoKPolicyThirdLevelContent">
    <w:name w:val="SoK Policy Third Level Content"/>
    <w:basedOn w:val="SoKPolicySecondLevelContent"/>
    <w:rsid w:val="00EB3236"/>
    <w:pPr>
      <w:ind w:left="1440"/>
    </w:pPr>
  </w:style>
  <w:style w:type="character" w:styleId="FollowedHyperlink">
    <w:name w:val="FollowedHyperlink"/>
    <w:basedOn w:val="DefaultParagraphFont"/>
    <w:semiHidden/>
    <w:unhideWhenUsed/>
    <w:rsid w:val="009B7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nvd.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89A3B4A0-E812-2147-BBE9-A85F4D74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7069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2016-01-26T18:49:00Z</dcterms:created>
  <dcterms:modified xsi:type="dcterms:W3CDTF">2016-01-27T16:23:00Z</dcterms:modified>
</cp:coreProperties>
</file>